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Garamond" w:cs="Garamond" w:eastAsia="Garamond" w:hAnsi="Garamond"/>
          <w:b w:val="1"/>
          <w:bCs w:val="1"/>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1"/>
          <w:bCs w:val="1"/>
          <w:sz w:val="24"/>
          <w:szCs w:val="24"/>
          <w:rtl w:val="0"/>
        </w:rPr>
        <w:t xml:space="preserve">INTRODUCCIÓN</w:t>
      </w:r>
      <w:r w:rsidDel="00000000" w:rsidR="00000000" w:rsidRPr="00000000">
        <w:rPr>
          <w:rtl w:val="0"/>
        </w:rPr>
      </w:r>
    </w:p>
    <w:p w:rsidR="00000000" w:rsidDel="00000000" w:rsidP="00000000" w:rsidRDefault="00000000" w:rsidRPr="00000000" w14:paraId="000000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En atención a lo dispuesto en el artículo 2.2.1.1.1.6.1</w:t>
      </w: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superscript"/>
          <w:rtl w:val="0"/>
        </w:rPr>
        <w:t xml:space="preserve">,</w:t>
      </w: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 Deber de análisis de las Entidades Estatales. del Decreto 1082 de 2015 subsección 6 análisis del sector económico y de los oferentes por parte de las entidades estatales, establece que La Entidad Estatal debe hacer, durante la etapa de planeación, el análisis necesario para conocer el sector relativo al objeto del Proceso de Contratación desde la perspectiva legal, comercial, financiera, organizacional, técnica, y de análisis de Riesgo. La Entidad Estatal debe dejar constancia de este análisis en los Documentos del Proceso. </w:t>
      </w:r>
    </w:p>
    <w:p w:rsidR="00000000" w:rsidDel="00000000" w:rsidP="00000000" w:rsidRDefault="00000000" w:rsidRPr="00000000" w14:paraId="000000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El contrato que surja del presente proceso de selección corresponde a Contrato de Prestación de Servicios, por Ley 80 de 1993, la Ley 1150 de 2007 y demás normas que las modifiquen, adicionen o deroguen y en las materias no reguladas en dichas leyes a las disposiciones civiles y comerciales. </w:t>
      </w:r>
    </w:p>
    <w:p w:rsidR="00000000" w:rsidDel="00000000" w:rsidP="00000000" w:rsidRDefault="00000000" w:rsidRPr="00000000" w14:paraId="000000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La modalidad de selección pertinente para contratar corresponde a Licitación Pública, de conformidad con literal a del numeral 1 del artículo 2 de la Ley 1150 de 2007 y en el artículo 2.2.1.2.1.2.2 del Decreto 1082 de 2015. De conformidad con lo establecido en la norma referida el presente proceso de contratación se justifica en atención al objeto a contratar y al valor del presupuesto oficial. </w:t>
      </w:r>
    </w:p>
    <w:p w:rsidR="00000000" w:rsidDel="00000000" w:rsidP="00000000" w:rsidRDefault="00000000" w:rsidRPr="00000000" w14:paraId="000000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El Fondo de Desarrollo Local de San Cristóbal, elabora a continuación el análisis del sector con base en la Guía para la Elaboración de Estudios de Sector, G-EES-02, publicada por Colombia </w:t>
      </w:r>
      <w:r w:rsidDel="00000000" w:rsidR="00000000" w:rsidRPr="00000000">
        <w:rPr>
          <w:rFonts w:ascii="Garamond" w:cs="Garamond" w:eastAsia="Garamond" w:hAnsi="Garamond"/>
          <w:sz w:val="24"/>
          <w:szCs w:val="24"/>
          <w:rtl w:val="0"/>
        </w:rPr>
        <w:t xml:space="preserve">Compra</w:t>
      </w: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 eficiente y actualizada en su versión 2.  </w:t>
      </w:r>
    </w:p>
    <w:p w:rsidR="00000000" w:rsidDel="00000000" w:rsidP="00000000" w:rsidRDefault="00000000" w:rsidRPr="00000000" w14:paraId="000000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El presente estudio del Sector comprende los siguientes aspectos: </w:t>
      </w:r>
    </w:p>
    <w:p w:rsidR="00000000" w:rsidDel="00000000" w:rsidP="00000000" w:rsidRDefault="00000000" w:rsidRPr="00000000" w14:paraId="000000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0F">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Aspectos generales del mercado.</w:t>
      </w:r>
    </w:p>
    <w:p w:rsidR="00000000" w:rsidDel="00000000" w:rsidP="00000000" w:rsidRDefault="00000000" w:rsidRPr="00000000" w14:paraId="00000010">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Comportamiento del Gasto Histórico </w:t>
      </w:r>
    </w:p>
    <w:p w:rsidR="00000000" w:rsidDel="00000000" w:rsidP="00000000" w:rsidRDefault="00000000" w:rsidRPr="00000000" w14:paraId="00000011">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Estudio de la oferta</w:t>
      </w:r>
    </w:p>
    <w:p w:rsidR="00000000" w:rsidDel="00000000" w:rsidP="00000000" w:rsidRDefault="00000000" w:rsidRPr="00000000" w14:paraId="00000012">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Estudio del Mercado</w:t>
      </w:r>
    </w:p>
    <w:p w:rsidR="00000000" w:rsidDel="00000000" w:rsidP="00000000" w:rsidRDefault="00000000" w:rsidRPr="00000000" w14:paraId="00000013">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Indicadores Financieros y de Capacidad Organizacional del mercado</w:t>
      </w:r>
    </w:p>
    <w:p w:rsidR="00000000" w:rsidDel="00000000" w:rsidP="00000000" w:rsidRDefault="00000000" w:rsidRPr="00000000" w14:paraId="000000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16">
      <w:pPr>
        <w:pStyle w:val="Heading1"/>
        <w:numPr>
          <w:ilvl w:val="0"/>
          <w:numId w:val="10"/>
        </w:numPr>
        <w:tabs>
          <w:tab w:val="left" w:leader="none" w:pos="403"/>
        </w:tabs>
        <w:spacing w:before="83" w:lineRule="auto"/>
        <w:ind w:left="402" w:hanging="285"/>
        <w:rPr>
          <w:rFonts w:ascii="Garamond" w:cs="Garamond" w:eastAsia="Garamond" w:hAnsi="Garamond"/>
        </w:rPr>
      </w:pPr>
      <w:r w:rsidDel="00000000" w:rsidR="00000000" w:rsidRPr="00000000">
        <w:rPr>
          <w:rFonts w:ascii="Garamond" w:cs="Garamond" w:eastAsia="Garamond" w:hAnsi="Garamond"/>
          <w:rtl w:val="0"/>
        </w:rPr>
        <w:t xml:space="preserve">OBJETO DE LA CONTRATACIÓN</w:t>
      </w:r>
    </w:p>
    <w:p w:rsidR="00000000" w:rsidDel="00000000" w:rsidP="00000000" w:rsidRDefault="00000000" w:rsidRPr="00000000" w14:paraId="00000017">
      <w:pPr>
        <w:jc w:val="both"/>
        <w:rPr>
          <w:rFonts w:ascii="Garamond" w:cs="Garamond" w:eastAsia="Garamond" w:hAnsi="Garamond"/>
          <w:sz w:val="24"/>
          <w:szCs w:val="24"/>
        </w:rPr>
      </w:pPr>
      <w:bookmarkStart w:colFirst="0" w:colLast="0" w:name="_heading=h.hmifm7pe96zd" w:id="0"/>
      <w:bookmarkEnd w:id="0"/>
      <w:r w:rsidDel="00000000" w:rsidR="00000000" w:rsidRPr="00000000">
        <w:rPr>
          <w:rtl w:val="0"/>
        </w:rPr>
      </w:r>
    </w:p>
    <w:p w:rsidR="00000000" w:rsidDel="00000000" w:rsidP="00000000" w:rsidRDefault="00000000" w:rsidRPr="00000000" w14:paraId="00000018">
      <w:pPr>
        <w:widowControl w:val="1"/>
        <w:spacing w:after="240" w:before="240" w:line="259" w:lineRule="auto"/>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1"/>
          <w:bCs w:val="1"/>
          <w:sz w:val="24"/>
          <w:szCs w:val="24"/>
          <w:highlight w:val="white"/>
          <w:rtl w:val="0"/>
        </w:rPr>
        <w:t xml:space="preserve">PRESTACIÓN DE SERVICIOS METODOLÓGICOS, EDUCATIVOS Y LOGISTICOS, DIRIGIDOS AL FORTALECIMIENTO DE LA PARTICIPACIÓN INCIDENTE DE LA LOCALIDAD DE SAN CRISTÓBAL, PARA LA TRANSFORMACIÓN DE LOS GRUPOS JUVENILES, LAS ORGANIZACIONES SOCIALES E INSTANCIAS DE PARTICIPACIÓN, A TRAVÉS DE LA IMPLEMENTACIÓN Y EJECUCIÓN DE INICIATIVAS INNOVADORES QUE PROMUEVAN EL DESARROLLO DE LA LOCALIDAD  GENERANDO IMPACTO SOCIOEDUCATIVO EN EL SECTOR</w:t>
      </w:r>
      <w:r w:rsidDel="00000000" w:rsidR="00000000" w:rsidRPr="00000000">
        <w:rPr>
          <w:rtl w:val="0"/>
        </w:rPr>
      </w:r>
    </w:p>
    <w:p w:rsidR="00000000" w:rsidDel="00000000" w:rsidP="00000000" w:rsidRDefault="00000000" w:rsidRPr="00000000" w14:paraId="00000019">
      <w:pPr>
        <w:pStyle w:val="Heading1"/>
        <w:numPr>
          <w:ilvl w:val="0"/>
          <w:numId w:val="10"/>
        </w:numPr>
        <w:tabs>
          <w:tab w:val="left" w:leader="none" w:pos="415"/>
        </w:tabs>
        <w:ind w:left="414" w:hanging="297"/>
        <w:rPr>
          <w:rFonts w:ascii="Garamond" w:cs="Garamond" w:eastAsia="Garamond" w:hAnsi="Garamond"/>
        </w:rPr>
      </w:pPr>
      <w:r w:rsidDel="00000000" w:rsidR="00000000" w:rsidRPr="00000000">
        <w:rPr>
          <w:rFonts w:ascii="Garamond" w:cs="Garamond" w:eastAsia="Garamond" w:hAnsi="Garamond"/>
          <w:rtl w:val="0"/>
        </w:rPr>
        <w:t xml:space="preserve">IDENTIFICACIÓN DEL SECTOR</w:t>
      </w:r>
    </w:p>
    <w:p w:rsidR="00000000" w:rsidDel="00000000" w:rsidP="00000000" w:rsidRDefault="00000000" w:rsidRPr="00000000" w14:paraId="000000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left"/>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 w:lineRule="auto"/>
        <w:ind w:left="0" w:right="21"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Con el propósito de observar lo dispuesto en el artículo 2.2.1.1.1.6.1 del Decreto 1082 de 2015 y materializar los principios de planeación, responsabilidad y transparencia, el Fondo de Desarrollo Local de San Cristóbal FDLSC, identificó algunos aspectos importantes respecto de los sectores </w:t>
      </w:r>
      <w:r w:rsidDel="00000000" w:rsidR="00000000" w:rsidRPr="00000000">
        <w:rPr>
          <w:rFonts w:ascii="Garamond" w:cs="Garamond" w:eastAsia="Garamond" w:hAnsi="Garamond"/>
          <w:b w:val="0"/>
          <w:bCs w:val="0"/>
          <w:i w:val="0"/>
          <w:iCs w:val="0"/>
          <w:smallCaps w:val="0"/>
          <w:strike w:val="0"/>
          <w:color w:val="000000"/>
          <w:sz w:val="24"/>
          <w:szCs w:val="24"/>
          <w:u w:val="none"/>
          <w:vertAlign w:val="baseline"/>
          <w:rtl w:val="0"/>
        </w:rPr>
        <w:t xml:space="preserve">“</w:t>
      </w:r>
      <w:r w:rsidDel="00000000" w:rsidR="00000000" w:rsidRPr="00000000">
        <w:rPr>
          <w:rFonts w:ascii="Garamond" w:cs="Garamond" w:eastAsia="Garamond" w:hAnsi="Garamond"/>
          <w:sz w:val="24"/>
          <w:szCs w:val="24"/>
          <w:rtl w:val="0"/>
        </w:rPr>
        <w:t xml:space="preserve">Sector de Tecnologías de la Información y las Comunicaciones (Sector TIC)</w:t>
      </w:r>
      <w:r w:rsidDel="00000000" w:rsidR="00000000" w:rsidRPr="00000000">
        <w:rPr>
          <w:rFonts w:ascii="Garamond" w:cs="Garamond" w:eastAsia="Garamond" w:hAnsi="Garamond"/>
          <w:b w:val="0"/>
          <w:bCs w:val="0"/>
          <w:i w:val="0"/>
          <w:iCs w:val="0"/>
          <w:smallCaps w:val="0"/>
          <w:strike w:val="0"/>
          <w:color w:val="000000"/>
          <w:sz w:val="24"/>
          <w:szCs w:val="24"/>
          <w:u w:val="none"/>
          <w:vertAlign w:val="baseline"/>
          <w:rtl w:val="0"/>
        </w:rPr>
        <w:t xml:space="preserve">”, “Actividades profesionales, científicas y técnicas”</w:t>
      </w: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Garamond" w:cs="Garamond" w:eastAsia="Garamond" w:hAnsi="Garamond"/>
          <w:sz w:val="24"/>
          <w:szCs w:val="24"/>
          <w:rtl w:val="0"/>
        </w:rPr>
        <w:t xml:space="preserve">“</w:t>
      </w: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desarrollo social/educativo</w:t>
      </w:r>
      <w:r w:rsidDel="00000000" w:rsidR="00000000" w:rsidRPr="00000000">
        <w:rPr>
          <w:rFonts w:ascii="Garamond" w:cs="Garamond" w:eastAsia="Garamond" w:hAnsi="Garamond"/>
          <w:sz w:val="24"/>
          <w:szCs w:val="24"/>
          <w:rtl w:val="0"/>
        </w:rPr>
        <w:t xml:space="preserve">” y otras actividades de servicios,</w:t>
      </w: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 los cuales se describen en el presente documento.</w:t>
      </w:r>
    </w:p>
    <w:p w:rsidR="00000000" w:rsidDel="00000000" w:rsidP="00000000" w:rsidRDefault="00000000" w:rsidRPr="00000000" w14:paraId="000000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21" w:firstLine="0"/>
        <w:jc w:val="left"/>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D">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La Prestación de Servicios objeto de la presente contratación está codificada en el Clasificador de Bienes y Servicios de Naciones Unidas (UNSPSC) hasta el tercer nivel, como se indica en la tabla No. 1:</w:t>
      </w:r>
    </w:p>
    <w:p w:rsidR="00000000" w:rsidDel="00000000" w:rsidP="00000000" w:rsidRDefault="00000000" w:rsidRPr="00000000" w14:paraId="000000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0" w:right="0" w:firstLine="0"/>
        <w:jc w:val="left"/>
        <w:rPr>
          <w:rFonts w:ascii="Garamond" w:cs="Garamond" w:eastAsia="Garamond" w:hAnsi="Garamond"/>
          <w:b w:val="0"/>
          <w:bCs w:val="0"/>
          <w:i w:val="0"/>
          <w:iCs w:val="0"/>
          <w:smallCaps w:val="0"/>
          <w:strike w:val="0"/>
          <w:color w:val="000000"/>
          <w:sz w:val="23"/>
          <w:szCs w:val="23"/>
          <w:u w:val="none"/>
          <w:shd w:fill="auto" w:val="clear"/>
          <w:vertAlign w:val="baseline"/>
        </w:rPr>
      </w:pPr>
      <w:r w:rsidDel="00000000" w:rsidR="00000000" w:rsidRPr="00000000">
        <w:rPr>
          <w:rtl w:val="0"/>
        </w:rPr>
      </w:r>
    </w:p>
    <w:p w:rsidR="00000000" w:rsidDel="00000000" w:rsidP="00000000" w:rsidRDefault="00000000" w:rsidRPr="00000000" w14:paraId="0000001F">
      <w:pPr>
        <w:pStyle w:val="Heading1"/>
        <w:spacing w:before="1" w:lineRule="auto"/>
        <w:ind w:left="1078" w:firstLine="0"/>
        <w:rPr>
          <w:rFonts w:ascii="Garamond" w:cs="Garamond" w:eastAsia="Garamond" w:hAnsi="Garamond"/>
        </w:rPr>
      </w:pPr>
      <w:r w:rsidDel="00000000" w:rsidR="00000000" w:rsidRPr="00000000">
        <w:rPr>
          <w:rFonts w:ascii="Garamond" w:cs="Garamond" w:eastAsia="Garamond" w:hAnsi="Garamond"/>
          <w:rtl w:val="0"/>
        </w:rPr>
        <w:t xml:space="preserve">Tabla 1 Clasificador de Bienes y Servicios de Naciones Unidas (UNSPSC)</w:t>
      </w:r>
    </w:p>
    <w:p w:rsidR="00000000" w:rsidDel="00000000" w:rsidP="00000000" w:rsidRDefault="00000000" w:rsidRPr="00000000" w14:paraId="00000020">
      <w:pPr>
        <w:pStyle w:val="Heading1"/>
        <w:spacing w:before="1" w:lineRule="auto"/>
        <w:rPr>
          <w:rFonts w:ascii="Garamond" w:cs="Garamond" w:eastAsia="Garamond" w:hAnsi="Garamond"/>
        </w:rPr>
      </w:pPr>
      <w:r w:rsidDel="00000000" w:rsidR="00000000" w:rsidRPr="00000000">
        <w:rPr>
          <w:rtl w:val="0"/>
        </w:rPr>
      </w:r>
    </w:p>
    <w:tbl>
      <w:tblPr>
        <w:tblStyle w:val="Table1"/>
        <w:tblW w:w="9375.0" w:type="dxa"/>
        <w:jc w:val="left"/>
        <w:tblInd w:w="2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0"/>
        <w:gridCol w:w="2220"/>
        <w:gridCol w:w="1920"/>
        <w:gridCol w:w="2565"/>
        <w:tblGridChange w:id="0">
          <w:tblGrid>
            <w:gridCol w:w="2670"/>
            <w:gridCol w:w="2220"/>
            <w:gridCol w:w="1920"/>
            <w:gridCol w:w="2565"/>
          </w:tblGrid>
        </w:tblGridChange>
      </w:tblGrid>
      <w:tr>
        <w:trPr>
          <w:cantSplit w:val="0"/>
          <w:tblHeader w:val="0"/>
        </w:trPr>
        <w:tc>
          <w:tcPr>
            <w:shd w:fill="d9d9d9" w:val="clear"/>
            <w:vAlign w:val="center"/>
          </w:tcPr>
          <w:p w:rsidR="00000000" w:rsidDel="00000000" w:rsidP="00000000" w:rsidRDefault="00000000" w:rsidRPr="00000000" w14:paraId="00000021">
            <w:pPr>
              <w:jc w:val="center"/>
              <w:rPr>
                <w:rFonts w:ascii="Garamond" w:cs="Garamond" w:eastAsia="Garamond" w:hAnsi="Garamond"/>
                <w:b w:val="1"/>
                <w:bCs w:val="1"/>
              </w:rPr>
            </w:pPr>
            <w:r w:rsidDel="00000000" w:rsidR="00000000" w:rsidRPr="00000000">
              <w:rPr>
                <w:rFonts w:ascii="Garamond" w:cs="Garamond" w:eastAsia="Garamond" w:hAnsi="Garamond"/>
                <w:b w:val="1"/>
                <w:bCs w:val="1"/>
                <w:rtl w:val="0"/>
              </w:rPr>
              <w:t xml:space="preserve">Clasificación UNSPSC Producto</w:t>
            </w:r>
          </w:p>
        </w:tc>
        <w:tc>
          <w:tcPr>
            <w:shd w:fill="d9d9d9" w:val="clear"/>
            <w:vAlign w:val="center"/>
          </w:tcPr>
          <w:p w:rsidR="00000000" w:rsidDel="00000000" w:rsidP="00000000" w:rsidRDefault="00000000" w:rsidRPr="00000000" w14:paraId="00000022">
            <w:pPr>
              <w:jc w:val="center"/>
              <w:rPr>
                <w:rFonts w:ascii="Garamond" w:cs="Garamond" w:eastAsia="Garamond" w:hAnsi="Garamond"/>
                <w:b w:val="1"/>
                <w:bCs w:val="1"/>
              </w:rPr>
            </w:pPr>
            <w:r w:rsidDel="00000000" w:rsidR="00000000" w:rsidRPr="00000000">
              <w:rPr>
                <w:rFonts w:ascii="Garamond" w:cs="Garamond" w:eastAsia="Garamond" w:hAnsi="Garamond"/>
                <w:b w:val="1"/>
                <w:bCs w:val="1"/>
                <w:rtl w:val="0"/>
              </w:rPr>
              <w:t xml:space="preserve">Segmento</w:t>
            </w:r>
          </w:p>
        </w:tc>
        <w:tc>
          <w:tcPr>
            <w:shd w:fill="d9d9d9" w:val="clear"/>
            <w:vAlign w:val="center"/>
          </w:tcPr>
          <w:p w:rsidR="00000000" w:rsidDel="00000000" w:rsidP="00000000" w:rsidRDefault="00000000" w:rsidRPr="00000000" w14:paraId="00000023">
            <w:pPr>
              <w:jc w:val="center"/>
              <w:rPr>
                <w:rFonts w:ascii="Garamond" w:cs="Garamond" w:eastAsia="Garamond" w:hAnsi="Garamond"/>
                <w:b w:val="1"/>
                <w:bCs w:val="1"/>
              </w:rPr>
            </w:pPr>
            <w:r w:rsidDel="00000000" w:rsidR="00000000" w:rsidRPr="00000000">
              <w:rPr>
                <w:rFonts w:ascii="Garamond" w:cs="Garamond" w:eastAsia="Garamond" w:hAnsi="Garamond"/>
                <w:b w:val="1"/>
                <w:bCs w:val="1"/>
                <w:rtl w:val="0"/>
              </w:rPr>
              <w:t xml:space="preserve">Familia</w:t>
            </w:r>
          </w:p>
        </w:tc>
        <w:tc>
          <w:tcPr>
            <w:shd w:fill="d9d9d9" w:val="clear"/>
            <w:vAlign w:val="center"/>
          </w:tcPr>
          <w:p w:rsidR="00000000" w:rsidDel="00000000" w:rsidP="00000000" w:rsidRDefault="00000000" w:rsidRPr="00000000" w14:paraId="00000024">
            <w:pPr>
              <w:jc w:val="center"/>
              <w:rPr>
                <w:rFonts w:ascii="Garamond" w:cs="Garamond" w:eastAsia="Garamond" w:hAnsi="Garamond"/>
                <w:b w:val="1"/>
                <w:bCs w:val="1"/>
              </w:rPr>
            </w:pPr>
            <w:r w:rsidDel="00000000" w:rsidR="00000000" w:rsidRPr="00000000">
              <w:rPr>
                <w:rFonts w:ascii="Garamond" w:cs="Garamond" w:eastAsia="Garamond" w:hAnsi="Garamond"/>
                <w:b w:val="1"/>
                <w:bCs w:val="1"/>
                <w:rtl w:val="0"/>
              </w:rPr>
              <w:t xml:space="preserve">Clase</w:t>
            </w:r>
          </w:p>
        </w:tc>
      </w:tr>
      <w:tr>
        <w:trPr>
          <w:cantSplit w:val="0"/>
          <w:trHeight w:val="251" w:hRule="atLeast"/>
          <w:tblHeader w:val="0"/>
        </w:trPr>
        <w:tc>
          <w:tcPr>
            <w:vAlign w:val="center"/>
          </w:tcPr>
          <w:p w:rsidR="00000000" w:rsidDel="00000000" w:rsidP="00000000" w:rsidRDefault="00000000" w:rsidRPr="00000000" w14:paraId="00000025">
            <w:pPr>
              <w:rPr>
                <w:rFonts w:ascii="Garamond" w:cs="Garamond" w:eastAsia="Garamond" w:hAnsi="Garamond"/>
              </w:rPr>
            </w:pPr>
            <w:r w:rsidDel="00000000" w:rsidR="00000000" w:rsidRPr="00000000">
              <w:rPr>
                <w:rFonts w:ascii="Garamond" w:cs="Garamond" w:eastAsia="Garamond" w:hAnsi="Garamond"/>
                <w:rtl w:val="0"/>
              </w:rPr>
              <w:t xml:space="preserve">43211508 Computadores personales</w:t>
            </w:r>
          </w:p>
        </w:tc>
        <w:tc>
          <w:tcPr>
            <w:vAlign w:val="center"/>
          </w:tcPr>
          <w:p w:rsidR="00000000" w:rsidDel="00000000" w:rsidP="00000000" w:rsidRDefault="00000000" w:rsidRPr="00000000" w14:paraId="00000026">
            <w:pPr>
              <w:jc w:val="both"/>
              <w:rPr>
                <w:rFonts w:ascii="Garamond" w:cs="Garamond" w:eastAsia="Garamond" w:hAnsi="Garamond"/>
              </w:rPr>
            </w:pPr>
            <w:r w:rsidDel="00000000" w:rsidR="00000000" w:rsidRPr="00000000">
              <w:rPr>
                <w:rFonts w:ascii="Garamond" w:cs="Garamond" w:eastAsia="Garamond" w:hAnsi="Garamond"/>
                <w:rtl w:val="0"/>
              </w:rPr>
              <w:t xml:space="preserve">43</w:t>
              <w:tab/>
              <w:t xml:space="preserve">Difusión de Tecnologías de Información y Telecomunicaciones</w:t>
            </w:r>
          </w:p>
        </w:tc>
        <w:tc>
          <w:tcPr>
            <w:vAlign w:val="center"/>
          </w:tcPr>
          <w:p w:rsidR="00000000" w:rsidDel="00000000" w:rsidP="00000000" w:rsidRDefault="00000000" w:rsidRPr="00000000" w14:paraId="00000027">
            <w:pPr>
              <w:jc w:val="both"/>
              <w:rPr>
                <w:rFonts w:ascii="Garamond" w:cs="Garamond" w:eastAsia="Garamond" w:hAnsi="Garamond"/>
              </w:rPr>
            </w:pPr>
            <w:r w:rsidDel="00000000" w:rsidR="00000000" w:rsidRPr="00000000">
              <w:rPr>
                <w:rFonts w:ascii="Garamond" w:cs="Garamond" w:eastAsia="Garamond" w:hAnsi="Garamond"/>
                <w:rtl w:val="0"/>
              </w:rPr>
              <w:t xml:space="preserve">4321</w:t>
              <w:tab/>
              <w:t xml:space="preserve">Equipo informático y accesorios</w:t>
            </w:r>
          </w:p>
        </w:tc>
        <w:tc>
          <w:tcPr>
            <w:vAlign w:val="center"/>
          </w:tcPr>
          <w:p w:rsidR="00000000" w:rsidDel="00000000" w:rsidP="00000000" w:rsidRDefault="00000000" w:rsidRPr="00000000" w14:paraId="00000028">
            <w:pPr>
              <w:jc w:val="both"/>
              <w:rPr>
                <w:rFonts w:ascii="Garamond" w:cs="Garamond" w:eastAsia="Garamond" w:hAnsi="Garamond"/>
              </w:rPr>
            </w:pPr>
            <w:r w:rsidDel="00000000" w:rsidR="00000000" w:rsidRPr="00000000">
              <w:rPr>
                <w:rFonts w:ascii="Garamond" w:cs="Garamond" w:eastAsia="Garamond" w:hAnsi="Garamond"/>
                <w:rtl w:val="0"/>
              </w:rPr>
              <w:t xml:space="preserve">432115</w:t>
              <w:tab/>
              <w:t xml:space="preserve">Computadores</w:t>
            </w:r>
          </w:p>
        </w:tc>
      </w:tr>
      <w:tr>
        <w:trPr>
          <w:cantSplit w:val="0"/>
          <w:tblHeader w:val="0"/>
        </w:trPr>
        <w:tc>
          <w:tcPr>
            <w:vAlign w:val="center"/>
          </w:tcPr>
          <w:p w:rsidR="00000000" w:rsidDel="00000000" w:rsidP="00000000" w:rsidRDefault="00000000" w:rsidRPr="00000000" w14:paraId="00000029">
            <w:pPr>
              <w:jc w:val="both"/>
              <w:rPr>
                <w:rFonts w:ascii="Garamond" w:cs="Garamond" w:eastAsia="Garamond" w:hAnsi="Garamond"/>
              </w:rPr>
            </w:pPr>
            <w:r w:rsidDel="00000000" w:rsidR="00000000" w:rsidRPr="00000000">
              <w:rPr>
                <w:rFonts w:ascii="Garamond" w:cs="Garamond" w:eastAsia="Garamond" w:hAnsi="Garamond"/>
                <w:rtl w:val="0"/>
              </w:rPr>
              <w:t xml:space="preserve">80141607 Gestión de eventos</w:t>
            </w:r>
          </w:p>
        </w:tc>
        <w:tc>
          <w:tcPr>
            <w:vAlign w:val="center"/>
          </w:tcPr>
          <w:p w:rsidR="00000000" w:rsidDel="00000000" w:rsidP="00000000" w:rsidRDefault="00000000" w:rsidRPr="00000000" w14:paraId="0000002A">
            <w:pPr>
              <w:jc w:val="both"/>
              <w:rPr>
                <w:rFonts w:ascii="Garamond" w:cs="Garamond" w:eastAsia="Garamond" w:hAnsi="Garamond"/>
              </w:rPr>
            </w:pPr>
            <w:r w:rsidDel="00000000" w:rsidR="00000000" w:rsidRPr="00000000">
              <w:rPr>
                <w:rFonts w:ascii="Garamond" w:cs="Garamond" w:eastAsia="Garamond" w:hAnsi="Garamond"/>
                <w:rtl w:val="0"/>
              </w:rPr>
              <w:t xml:space="preserve">80 Servicios de Gestión, Servicios Profesionales de Empresa y Servicios Administrativos</w:t>
            </w:r>
          </w:p>
        </w:tc>
        <w:tc>
          <w:tcPr>
            <w:vAlign w:val="center"/>
          </w:tcPr>
          <w:p w:rsidR="00000000" w:rsidDel="00000000" w:rsidP="00000000" w:rsidRDefault="00000000" w:rsidRPr="00000000" w14:paraId="0000002B">
            <w:pPr>
              <w:jc w:val="both"/>
              <w:rPr>
                <w:rFonts w:ascii="Garamond" w:cs="Garamond" w:eastAsia="Garamond" w:hAnsi="Garamond"/>
              </w:rPr>
            </w:pPr>
            <w:r w:rsidDel="00000000" w:rsidR="00000000" w:rsidRPr="00000000">
              <w:rPr>
                <w:rFonts w:ascii="Garamond" w:cs="Garamond" w:eastAsia="Garamond" w:hAnsi="Garamond"/>
                <w:rtl w:val="0"/>
              </w:rPr>
              <w:t xml:space="preserve">8014 Comercialización y distribución</w:t>
            </w:r>
          </w:p>
        </w:tc>
        <w:tc>
          <w:tcPr>
            <w:vAlign w:val="center"/>
          </w:tcPr>
          <w:p w:rsidR="00000000" w:rsidDel="00000000" w:rsidP="00000000" w:rsidRDefault="00000000" w:rsidRPr="00000000" w14:paraId="0000002C">
            <w:pPr>
              <w:jc w:val="both"/>
              <w:rPr>
                <w:rFonts w:ascii="Garamond" w:cs="Garamond" w:eastAsia="Garamond" w:hAnsi="Garamond"/>
              </w:rPr>
            </w:pPr>
            <w:r w:rsidDel="00000000" w:rsidR="00000000" w:rsidRPr="00000000">
              <w:rPr>
                <w:rFonts w:ascii="Garamond" w:cs="Garamond" w:eastAsia="Garamond" w:hAnsi="Garamond"/>
                <w:rtl w:val="0"/>
              </w:rPr>
              <w:t xml:space="preserve">801416</w:t>
              <w:tab/>
              <w:t xml:space="preserve">Actividades de ventas y promoción de negocios</w:t>
            </w:r>
          </w:p>
        </w:tc>
      </w:tr>
      <w:tr>
        <w:trPr>
          <w:cantSplit w:val="0"/>
          <w:tblHeader w:val="0"/>
        </w:trPr>
        <w:tc>
          <w:tcPr>
            <w:vAlign w:val="center"/>
          </w:tcPr>
          <w:p w:rsidR="00000000" w:rsidDel="00000000" w:rsidP="00000000" w:rsidRDefault="00000000" w:rsidRPr="00000000" w14:paraId="0000002D">
            <w:pPr>
              <w:jc w:val="both"/>
              <w:rPr>
                <w:rFonts w:ascii="Garamond" w:cs="Garamond" w:eastAsia="Garamond" w:hAnsi="Garamond"/>
              </w:rPr>
            </w:pPr>
            <w:r w:rsidDel="00000000" w:rsidR="00000000" w:rsidRPr="00000000">
              <w:rPr>
                <w:rFonts w:ascii="Garamond" w:cs="Garamond" w:eastAsia="Garamond" w:hAnsi="Garamond"/>
                <w:rtl w:val="0"/>
              </w:rPr>
              <w:t xml:space="preserve">86101705 Capacitación administrativa</w:t>
            </w:r>
          </w:p>
        </w:tc>
        <w:tc>
          <w:tcPr>
            <w:vAlign w:val="center"/>
          </w:tcPr>
          <w:p w:rsidR="00000000" w:rsidDel="00000000" w:rsidP="00000000" w:rsidRDefault="00000000" w:rsidRPr="00000000" w14:paraId="0000002E">
            <w:pPr>
              <w:jc w:val="both"/>
              <w:rPr>
                <w:rFonts w:ascii="Garamond" w:cs="Garamond" w:eastAsia="Garamond" w:hAnsi="Garamond"/>
              </w:rPr>
            </w:pPr>
            <w:r w:rsidDel="00000000" w:rsidR="00000000" w:rsidRPr="00000000">
              <w:rPr>
                <w:rFonts w:ascii="Garamond" w:cs="Garamond" w:eastAsia="Garamond" w:hAnsi="Garamond"/>
                <w:rtl w:val="0"/>
              </w:rPr>
              <w:t xml:space="preserve">86</w:t>
              <w:tab/>
              <w:t xml:space="preserve">Servicios Educativos y de Formación</w:t>
            </w:r>
          </w:p>
        </w:tc>
        <w:tc>
          <w:tcPr>
            <w:vAlign w:val="center"/>
          </w:tcPr>
          <w:p w:rsidR="00000000" w:rsidDel="00000000" w:rsidP="00000000" w:rsidRDefault="00000000" w:rsidRPr="00000000" w14:paraId="0000002F">
            <w:pPr>
              <w:jc w:val="both"/>
              <w:rPr>
                <w:rFonts w:ascii="Garamond" w:cs="Garamond" w:eastAsia="Garamond" w:hAnsi="Garamond"/>
              </w:rPr>
            </w:pPr>
            <w:r w:rsidDel="00000000" w:rsidR="00000000" w:rsidRPr="00000000">
              <w:rPr>
                <w:rFonts w:ascii="Garamond" w:cs="Garamond" w:eastAsia="Garamond" w:hAnsi="Garamond"/>
                <w:rtl w:val="0"/>
              </w:rPr>
              <w:t xml:space="preserve">8610</w:t>
              <w:tab/>
              <w:t xml:space="preserve">Formación profesional</w:t>
            </w:r>
          </w:p>
        </w:tc>
        <w:tc>
          <w:tcPr>
            <w:vAlign w:val="center"/>
          </w:tcPr>
          <w:p w:rsidR="00000000" w:rsidDel="00000000" w:rsidP="00000000" w:rsidRDefault="00000000" w:rsidRPr="00000000" w14:paraId="00000030">
            <w:pPr>
              <w:jc w:val="both"/>
              <w:rPr>
                <w:rFonts w:ascii="Garamond" w:cs="Garamond" w:eastAsia="Garamond" w:hAnsi="Garamond"/>
              </w:rPr>
            </w:pPr>
            <w:r w:rsidDel="00000000" w:rsidR="00000000" w:rsidRPr="00000000">
              <w:rPr>
                <w:rFonts w:ascii="Garamond" w:cs="Garamond" w:eastAsia="Garamond" w:hAnsi="Garamond"/>
                <w:rtl w:val="0"/>
              </w:rPr>
              <w:t xml:space="preserve">861017</w:t>
              <w:tab/>
              <w:t xml:space="preserve">Servicios de capacitación vocacional no - científica</w:t>
            </w:r>
          </w:p>
        </w:tc>
      </w:tr>
      <w:tr>
        <w:trPr>
          <w:cantSplit w:val="0"/>
          <w:trHeight w:val="240" w:hRule="atLeast"/>
          <w:tblHeader w:val="0"/>
        </w:trPr>
        <w:tc>
          <w:tcPr>
            <w:vAlign w:val="center"/>
          </w:tcPr>
          <w:p w:rsidR="00000000" w:rsidDel="00000000" w:rsidP="00000000" w:rsidRDefault="00000000" w:rsidRPr="00000000" w14:paraId="00000031">
            <w:pPr>
              <w:jc w:val="both"/>
              <w:rPr>
                <w:rFonts w:ascii="Garamond" w:cs="Garamond" w:eastAsia="Garamond" w:hAnsi="Garamond"/>
              </w:rPr>
            </w:pPr>
            <w:r w:rsidDel="00000000" w:rsidR="00000000" w:rsidRPr="00000000">
              <w:rPr>
                <w:rFonts w:ascii="Garamond" w:cs="Garamond" w:eastAsia="Garamond" w:hAnsi="Garamond"/>
                <w:rtl w:val="0"/>
              </w:rPr>
              <w:t xml:space="preserve">86111500 - Servicios de aprendizaje a distancia</w:t>
            </w:r>
          </w:p>
        </w:tc>
        <w:tc>
          <w:tcPr>
            <w:vAlign w:val="center"/>
          </w:tcPr>
          <w:p w:rsidR="00000000" w:rsidDel="00000000" w:rsidP="00000000" w:rsidRDefault="00000000" w:rsidRPr="00000000" w14:paraId="00000032">
            <w:pPr>
              <w:jc w:val="both"/>
              <w:rPr>
                <w:rFonts w:ascii="Garamond" w:cs="Garamond" w:eastAsia="Garamond" w:hAnsi="Garamond"/>
              </w:rPr>
            </w:pPr>
            <w:r w:rsidDel="00000000" w:rsidR="00000000" w:rsidRPr="00000000">
              <w:rPr>
                <w:rFonts w:ascii="Garamond" w:cs="Garamond" w:eastAsia="Garamond" w:hAnsi="Garamond"/>
                <w:rtl w:val="0"/>
              </w:rPr>
              <w:t xml:space="preserve">86</w:t>
              <w:tab/>
              <w:t xml:space="preserve">Servicios Educativos y de Formación</w:t>
            </w:r>
          </w:p>
        </w:tc>
        <w:tc>
          <w:tcPr>
            <w:vAlign w:val="center"/>
          </w:tcPr>
          <w:p w:rsidR="00000000" w:rsidDel="00000000" w:rsidP="00000000" w:rsidRDefault="00000000" w:rsidRPr="00000000" w14:paraId="00000033">
            <w:pPr>
              <w:jc w:val="both"/>
              <w:rPr>
                <w:rFonts w:ascii="Garamond" w:cs="Garamond" w:eastAsia="Garamond" w:hAnsi="Garamond"/>
              </w:rPr>
            </w:pPr>
            <w:r w:rsidDel="00000000" w:rsidR="00000000" w:rsidRPr="00000000">
              <w:rPr>
                <w:rFonts w:ascii="Garamond" w:cs="Garamond" w:eastAsia="Garamond" w:hAnsi="Garamond"/>
                <w:rtl w:val="0"/>
              </w:rPr>
              <w:t xml:space="preserve">8611</w:t>
              <w:tab/>
              <w:t xml:space="preserve">Sistemas educativos alternativos</w:t>
            </w:r>
          </w:p>
        </w:tc>
        <w:tc>
          <w:tcPr>
            <w:vAlign w:val="center"/>
          </w:tcPr>
          <w:p w:rsidR="00000000" w:rsidDel="00000000" w:rsidP="00000000" w:rsidRDefault="00000000" w:rsidRPr="00000000" w14:paraId="00000034">
            <w:pPr>
              <w:jc w:val="both"/>
              <w:rPr>
                <w:rFonts w:ascii="Garamond" w:cs="Garamond" w:eastAsia="Garamond" w:hAnsi="Garamond"/>
              </w:rPr>
            </w:pPr>
            <w:r w:rsidDel="00000000" w:rsidR="00000000" w:rsidRPr="00000000">
              <w:rPr>
                <w:rFonts w:ascii="Garamond" w:cs="Garamond" w:eastAsia="Garamond" w:hAnsi="Garamond"/>
                <w:rtl w:val="0"/>
              </w:rPr>
              <w:t xml:space="preserve">861115</w:t>
              <w:tab/>
              <w:t xml:space="preserve">Servicios de aprendizaje a distancia</w:t>
            </w:r>
          </w:p>
        </w:tc>
      </w:tr>
      <w:tr>
        <w:trPr>
          <w:cantSplit w:val="0"/>
          <w:trHeight w:val="240" w:hRule="atLeast"/>
          <w:tblHeader w:val="0"/>
        </w:trPr>
        <w:tc>
          <w:tcPr>
            <w:vAlign w:val="center"/>
          </w:tcPr>
          <w:p w:rsidR="00000000" w:rsidDel="00000000" w:rsidP="00000000" w:rsidRDefault="00000000" w:rsidRPr="00000000" w14:paraId="00000035">
            <w:pPr>
              <w:jc w:val="both"/>
              <w:rPr>
                <w:rFonts w:ascii="Garamond" w:cs="Garamond" w:eastAsia="Garamond" w:hAnsi="Garamond"/>
              </w:rPr>
            </w:pPr>
            <w:r w:rsidDel="00000000" w:rsidR="00000000" w:rsidRPr="00000000">
              <w:rPr>
                <w:rFonts w:ascii="Garamond" w:cs="Garamond" w:eastAsia="Garamond" w:hAnsi="Garamond"/>
                <w:rtl w:val="0"/>
              </w:rPr>
              <w:t xml:space="preserve">78111803 Transporte de pasajeros</w:t>
            </w:r>
          </w:p>
        </w:tc>
        <w:tc>
          <w:tcPr>
            <w:vAlign w:val="center"/>
          </w:tcPr>
          <w:p w:rsidR="00000000" w:rsidDel="00000000" w:rsidP="00000000" w:rsidRDefault="00000000" w:rsidRPr="00000000" w14:paraId="00000036">
            <w:pPr>
              <w:jc w:val="both"/>
              <w:rPr>
                <w:rFonts w:ascii="Garamond" w:cs="Garamond" w:eastAsia="Garamond" w:hAnsi="Garamond"/>
              </w:rPr>
            </w:pPr>
            <w:r w:rsidDel="00000000" w:rsidR="00000000" w:rsidRPr="00000000">
              <w:rPr>
                <w:rFonts w:ascii="Garamond" w:cs="Garamond" w:eastAsia="Garamond" w:hAnsi="Garamond"/>
                <w:rtl w:val="0"/>
              </w:rPr>
              <w:t xml:space="preserve">78 Transporte de pasajeros</w:t>
            </w:r>
          </w:p>
        </w:tc>
        <w:tc>
          <w:tcPr>
            <w:vAlign w:val="center"/>
          </w:tcPr>
          <w:p w:rsidR="00000000" w:rsidDel="00000000" w:rsidP="00000000" w:rsidRDefault="00000000" w:rsidRPr="00000000" w14:paraId="00000037">
            <w:pPr>
              <w:jc w:val="both"/>
              <w:rPr>
                <w:rFonts w:ascii="Garamond" w:cs="Garamond" w:eastAsia="Garamond" w:hAnsi="Garamond"/>
              </w:rPr>
            </w:pPr>
            <w:r w:rsidDel="00000000" w:rsidR="00000000" w:rsidRPr="00000000">
              <w:rPr>
                <w:rFonts w:ascii="Garamond" w:cs="Garamond" w:eastAsia="Garamond" w:hAnsi="Garamond"/>
                <w:rtl w:val="0"/>
              </w:rPr>
              <w:t xml:space="preserve">7811 Alquiler de autobuses, transporte especial o turístico </w:t>
            </w:r>
          </w:p>
        </w:tc>
        <w:tc>
          <w:tcPr>
            <w:vAlign w:val="center"/>
          </w:tcPr>
          <w:p w:rsidR="00000000" w:rsidDel="00000000" w:rsidP="00000000" w:rsidRDefault="00000000" w:rsidRPr="00000000" w14:paraId="00000038">
            <w:pPr>
              <w:jc w:val="both"/>
              <w:rPr>
                <w:rFonts w:ascii="Garamond" w:cs="Garamond" w:eastAsia="Garamond" w:hAnsi="Garamond"/>
              </w:rPr>
            </w:pPr>
            <w:r w:rsidDel="00000000" w:rsidR="00000000" w:rsidRPr="00000000">
              <w:rPr>
                <w:rFonts w:ascii="Garamond" w:cs="Garamond" w:eastAsia="Garamond" w:hAnsi="Garamond"/>
                <w:rtl w:val="0"/>
              </w:rPr>
              <w:t xml:space="preserve">7811118 Transporte de pasajeros</w:t>
            </w:r>
          </w:p>
        </w:tc>
      </w:tr>
      <w:tr>
        <w:trPr>
          <w:cantSplit w:val="0"/>
          <w:trHeight w:val="240" w:hRule="atLeast"/>
          <w:tblHeader w:val="0"/>
        </w:trPr>
        <w:tc>
          <w:tcPr>
            <w:vAlign w:val="center"/>
          </w:tcPr>
          <w:p w:rsidR="00000000" w:rsidDel="00000000" w:rsidP="00000000" w:rsidRDefault="00000000" w:rsidRPr="00000000" w14:paraId="00000039">
            <w:pPr>
              <w:jc w:val="both"/>
              <w:rPr>
                <w:rFonts w:ascii="Garamond" w:cs="Garamond" w:eastAsia="Garamond" w:hAnsi="Garamond"/>
              </w:rPr>
            </w:pPr>
            <w:r w:rsidDel="00000000" w:rsidR="00000000" w:rsidRPr="00000000">
              <w:rPr>
                <w:rFonts w:ascii="Garamond" w:cs="Garamond" w:eastAsia="Garamond" w:hAnsi="Garamond"/>
                <w:rtl w:val="0"/>
              </w:rPr>
              <w:t xml:space="preserve">43232300 Programas de desarrollo</w:t>
            </w:r>
          </w:p>
        </w:tc>
        <w:tc>
          <w:tcPr>
            <w:vAlign w:val="center"/>
          </w:tcPr>
          <w:p w:rsidR="00000000" w:rsidDel="00000000" w:rsidP="00000000" w:rsidRDefault="00000000" w:rsidRPr="00000000" w14:paraId="0000003A">
            <w:pPr>
              <w:jc w:val="both"/>
              <w:rPr>
                <w:rFonts w:ascii="Garamond" w:cs="Garamond" w:eastAsia="Garamond" w:hAnsi="Garamond"/>
              </w:rPr>
            </w:pPr>
            <w:r w:rsidDel="00000000" w:rsidR="00000000" w:rsidRPr="00000000">
              <w:rPr>
                <w:rFonts w:ascii="Garamond" w:cs="Garamond" w:eastAsia="Garamond" w:hAnsi="Garamond"/>
                <w:rtl w:val="0"/>
              </w:rPr>
              <w:t xml:space="preserve">43 </w:t>
            </w:r>
            <w:hyperlink r:id="rId8">
              <w:r w:rsidDel="00000000" w:rsidR="00000000" w:rsidRPr="00000000">
                <w:rPr>
                  <w:rFonts w:ascii="Garamond" w:cs="Garamond" w:eastAsia="Garamond" w:hAnsi="Garamond"/>
                  <w:rtl w:val="0"/>
                </w:rPr>
                <w:t xml:space="preserve">Difusión de Tecnologías de Información y Telecomunicaciones</w:t>
              </w:r>
            </w:hyperlink>
            <w:r w:rsidDel="00000000" w:rsidR="00000000" w:rsidRPr="00000000">
              <w:rPr>
                <w:rFonts w:ascii="Garamond" w:cs="Garamond" w:eastAsia="Garamond" w:hAnsi="Garamond"/>
                <w:rtl w:val="0"/>
              </w:rPr>
              <w:t xml:space="preserve"> </w:t>
            </w:r>
          </w:p>
        </w:tc>
        <w:tc>
          <w:tcPr>
            <w:vAlign w:val="center"/>
          </w:tcPr>
          <w:p w:rsidR="00000000" w:rsidDel="00000000" w:rsidP="00000000" w:rsidRDefault="00000000" w:rsidRPr="00000000" w14:paraId="0000003B">
            <w:pPr>
              <w:jc w:val="both"/>
              <w:rPr>
                <w:rFonts w:ascii="Garamond" w:cs="Garamond" w:eastAsia="Garamond" w:hAnsi="Garamond"/>
              </w:rPr>
            </w:pPr>
            <w:r w:rsidDel="00000000" w:rsidR="00000000" w:rsidRPr="00000000">
              <w:rPr>
                <w:rFonts w:ascii="Garamond" w:cs="Garamond" w:eastAsia="Garamond" w:hAnsi="Garamond"/>
                <w:rtl w:val="0"/>
              </w:rPr>
              <w:t xml:space="preserve">4323 </w:t>
            </w:r>
            <w:hyperlink r:id="rId9">
              <w:r w:rsidDel="00000000" w:rsidR="00000000" w:rsidRPr="00000000">
                <w:rPr>
                  <w:rFonts w:ascii="Garamond" w:cs="Garamond" w:eastAsia="Garamond" w:hAnsi="Garamond"/>
                  <w:rtl w:val="0"/>
                </w:rPr>
                <w:t xml:space="preserve">Software</w:t>
              </w:r>
            </w:hyperlink>
            <w:r w:rsidDel="00000000" w:rsidR="00000000" w:rsidRPr="00000000">
              <w:rPr>
                <w:rFonts w:ascii="Garamond" w:cs="Garamond" w:eastAsia="Garamond" w:hAnsi="Garamond"/>
                <w:rtl w:val="0"/>
              </w:rPr>
              <w:t xml:space="preserve"> </w:t>
            </w:r>
          </w:p>
        </w:tc>
        <w:tc>
          <w:tcPr>
            <w:vAlign w:val="center"/>
          </w:tcPr>
          <w:p w:rsidR="00000000" w:rsidDel="00000000" w:rsidP="00000000" w:rsidRDefault="00000000" w:rsidRPr="00000000" w14:paraId="0000003C">
            <w:pPr>
              <w:jc w:val="both"/>
              <w:rPr>
                <w:rFonts w:ascii="Garamond" w:cs="Garamond" w:eastAsia="Garamond" w:hAnsi="Garamond"/>
              </w:rPr>
            </w:pPr>
            <w:r w:rsidDel="00000000" w:rsidR="00000000" w:rsidRPr="00000000">
              <w:rPr>
                <w:rFonts w:ascii="Garamond" w:cs="Garamond" w:eastAsia="Garamond" w:hAnsi="Garamond"/>
                <w:rtl w:val="0"/>
              </w:rPr>
              <w:t xml:space="preserve">432323 </w:t>
            </w:r>
            <w:hyperlink r:id="rId10">
              <w:r w:rsidDel="00000000" w:rsidR="00000000" w:rsidRPr="00000000">
                <w:rPr>
                  <w:rFonts w:ascii="Garamond" w:cs="Garamond" w:eastAsia="Garamond" w:hAnsi="Garamond"/>
                  <w:rtl w:val="0"/>
                </w:rPr>
                <w:t xml:space="preserve">Difusión de Tecnologías de Información y Telecomunicaciones</w:t>
              </w:r>
            </w:hyperlink>
            <w:r w:rsidDel="00000000" w:rsidR="00000000" w:rsidRPr="00000000">
              <w:rPr>
                <w:rFonts w:ascii="Garamond" w:cs="Garamond" w:eastAsia="Garamond" w:hAnsi="Garamond"/>
                <w:rtl w:val="0"/>
              </w:rPr>
              <w:t xml:space="preserve"> </w:t>
            </w:r>
          </w:p>
        </w:tc>
      </w:tr>
    </w:tbl>
    <w:p w:rsidR="00000000" w:rsidDel="00000000" w:rsidP="00000000" w:rsidRDefault="00000000" w:rsidRPr="00000000" w14:paraId="0000003D">
      <w:pPr>
        <w:rPr/>
      </w:pPr>
      <w:r w:rsidDel="00000000" w:rsidR="00000000" w:rsidRPr="00000000">
        <w:rPr>
          <w:rtl w:val="0"/>
        </w:rPr>
      </w:r>
    </w:p>
    <w:p w:rsidR="00000000" w:rsidDel="00000000" w:rsidP="00000000" w:rsidRDefault="00000000" w:rsidRPr="00000000" w14:paraId="0000003E">
      <w:pPr>
        <w:keepNext w:val="0"/>
        <w:keepLines w:val="0"/>
        <w:pageBreakBefore w:val="0"/>
        <w:widowControl w:val="0"/>
        <w:numPr>
          <w:ilvl w:val="0"/>
          <w:numId w:val="10"/>
        </w:numPr>
        <w:pBdr>
          <w:top w:space="0" w:sz="0" w:val="nil"/>
          <w:left w:space="0" w:sz="0" w:val="nil"/>
          <w:bottom w:space="0" w:sz="0" w:val="nil"/>
          <w:right w:space="0" w:sz="0" w:val="nil"/>
          <w:between w:space="0" w:sz="0" w:val="nil"/>
        </w:pBdr>
        <w:shd w:fill="auto" w:val="clear"/>
        <w:tabs>
          <w:tab w:val="left" w:leader="none" w:pos="355"/>
        </w:tabs>
        <w:spacing w:after="0" w:before="83" w:line="240" w:lineRule="auto"/>
        <w:ind w:left="354" w:right="0" w:hanging="237"/>
        <w:jc w:val="left"/>
        <w:rPr>
          <w:rFonts w:ascii="Garamond" w:cs="Garamond" w:eastAsia="Garamond" w:hAnsi="Garamond"/>
          <w:b w:val="1"/>
          <w:bCs w:val="1"/>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1"/>
          <w:bCs w:val="1"/>
          <w:i w:val="0"/>
          <w:iCs w:val="0"/>
          <w:smallCaps w:val="0"/>
          <w:strike w:val="0"/>
          <w:color w:val="000000"/>
          <w:sz w:val="24"/>
          <w:szCs w:val="24"/>
          <w:u w:val="none"/>
          <w:shd w:fill="auto" w:val="clear"/>
          <w:vertAlign w:val="baseline"/>
          <w:rtl w:val="0"/>
        </w:rPr>
        <w:t xml:space="preserve">ASPECTOS GENERALES DEL MERCADO</w:t>
      </w:r>
    </w:p>
    <w:p w:rsidR="00000000" w:rsidDel="00000000" w:rsidP="00000000" w:rsidRDefault="00000000" w:rsidRPr="00000000" w14:paraId="000000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El sector servicios presentó un desempeño favorable en el primer trimestre de 202</w:t>
      </w:r>
      <w:r w:rsidDel="00000000" w:rsidR="00000000" w:rsidRPr="00000000">
        <w:rPr>
          <w:rFonts w:ascii="Garamond" w:cs="Garamond" w:eastAsia="Garamond" w:hAnsi="Garamond"/>
          <w:sz w:val="24"/>
          <w:szCs w:val="24"/>
          <w:rtl w:val="0"/>
        </w:rPr>
        <w:t xml:space="preserve">6</w:t>
      </w: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Garamond" w:cs="Garamond" w:eastAsia="Garamond" w:hAnsi="Garamond"/>
          <w:sz w:val="24"/>
          <w:szCs w:val="24"/>
          <w:rtl w:val="0"/>
        </w:rPr>
        <w:t xml:space="preserve">impulsado por el consumo de los hogares y el buen desempeño laboral, </w:t>
      </w:r>
      <w:r w:rsidDel="00000000" w:rsidR="00000000" w:rsidRPr="00000000">
        <w:rPr>
          <w:rFonts w:ascii="Garamond" w:cs="Garamond" w:eastAsia="Garamond" w:hAnsi="Garamond"/>
          <w:sz w:val="24"/>
          <w:szCs w:val="24"/>
          <w:rtl w:val="0"/>
        </w:rPr>
        <w:t xml:space="preserve">destacarán</w:t>
      </w:r>
      <w:r w:rsidDel="00000000" w:rsidR="00000000" w:rsidRPr="00000000">
        <w:rPr>
          <w:rFonts w:ascii="Garamond" w:cs="Garamond" w:eastAsia="Garamond" w:hAnsi="Garamond"/>
          <w:sz w:val="24"/>
          <w:szCs w:val="24"/>
          <w:rtl w:val="0"/>
        </w:rPr>
        <w:t xml:space="preserve"> el comercio, servicios financieros, salud, educación y entretenimiento. Se espera una recuperación gradual en sectores rezagados como construcción e industria</w:t>
      </w: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042">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La ocupación ha registrado variaciones anuales en un rango aproximado del 1% al 3%, reflejando una expansión sostenida pero más contenida, en línea con la desaceleración de la actividad económica. Este comportamiento ha sido impulsado principalmente por el sector servicios, que continúa concentrando la mayor proporción de ocupados, especialmente en actividades como comercio, transporte y servicios personales.</w:t>
      </w:r>
    </w:p>
    <w:p w:rsidR="00000000" w:rsidDel="00000000" w:rsidP="00000000" w:rsidRDefault="00000000" w:rsidRPr="00000000" w14:paraId="00000043">
      <w:pPr>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044">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Por su parte, los salarios han presentado un crecimiento nominal significativo, con incrementos anuales cercanos al 8%–10%, influenciados en gran medida por los ajustes del salario mínimo y la dinámica del empleo formal. No obstante, al descontar el efecto de la inflación, el crecimiento real de los ingresos laborales ha sido más moderado, ubicándose aproximadamente entre el 1% y el 3%. Esto indica que, aunque los trabajadores perciben mayores ingresos en términos nominales, la mejora en el poder adquisitivo ha sido parcial.</w:t>
      </w:r>
    </w:p>
    <w:p w:rsidR="00000000" w:rsidDel="00000000" w:rsidP="00000000" w:rsidRDefault="00000000" w:rsidRPr="00000000" w14:paraId="000000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sz w:val="24"/>
          <w:szCs w:val="24"/>
          <w:highlight w:val="yellow"/>
        </w:rPr>
      </w:pPr>
      <w:r w:rsidDel="00000000" w:rsidR="00000000" w:rsidRPr="00000000">
        <w:rPr>
          <w:rtl w:val="0"/>
        </w:rPr>
      </w:r>
    </w:p>
    <w:p w:rsidR="00000000" w:rsidDel="00000000" w:rsidP="00000000" w:rsidRDefault="00000000" w:rsidRPr="00000000" w14:paraId="00000046">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En términos sectoriales, los aumentos salariales han sido más evidentes en actividades con mayor formalización laboral, como servicios empresariales, comunicaciones y algunos segmentos del comercio organizado. En contraste, los sectores con alta informalidad presentan menores incrementos reales y mayor volatilidad en los ingresos.</w:t>
      </w:r>
    </w:p>
    <w:p w:rsidR="00000000" w:rsidDel="00000000" w:rsidP="00000000" w:rsidRDefault="00000000" w:rsidRPr="00000000" w14:paraId="00000047">
      <w:pPr>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048">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En conjunto, el mercado laboral en 2026 refleja un escenario de crecimiento moderado del empleo y recuperación gradual de los salarios reales, con una demanda laboral aún sólida, pero condicionada por factores macroeconómicos como la inflación, las tasas de interés y el comportamiento del consumo.</w:t>
      </w:r>
    </w:p>
    <w:p w:rsidR="00000000" w:rsidDel="00000000" w:rsidP="00000000" w:rsidRDefault="00000000" w:rsidRPr="00000000" w14:paraId="000000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0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 </w:t>
      </w:r>
    </w:p>
    <w:p w:rsidR="00000000" w:rsidDel="00000000" w:rsidP="00000000" w:rsidRDefault="00000000" w:rsidRPr="00000000" w14:paraId="000000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0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0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0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0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0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sz w:val="24"/>
          <w:szCs w:val="24"/>
        </w:rPr>
      </w:pPr>
      <w:r w:rsidDel="00000000" w:rsidR="00000000" w:rsidRPr="00000000">
        <w:rPr>
          <w:rFonts w:ascii="Garamond" w:cs="Garamond" w:eastAsia="Garamond" w:hAnsi="Garamond"/>
          <w:sz w:val="24"/>
          <w:szCs w:val="24"/>
        </w:rPr>
        <w:drawing>
          <wp:inline distB="114300" distT="114300" distL="114300" distR="114300">
            <wp:extent cx="6134100" cy="2921000"/>
            <wp:effectExtent b="0" l="0" r="0" t="0"/>
            <wp:docPr id="30" name="image27.png"/>
            <a:graphic>
              <a:graphicData uri="http://schemas.openxmlformats.org/drawingml/2006/picture">
                <pic:pic>
                  <pic:nvPicPr>
                    <pic:cNvPr id="0" name="image27.png"/>
                    <pic:cNvPicPr preferRelativeResize="0"/>
                  </pic:nvPicPr>
                  <pic:blipFill>
                    <a:blip r:embed="rId11"/>
                    <a:srcRect b="0" l="0" r="0" t="0"/>
                    <a:stretch>
                      <a:fillRect/>
                    </a:stretch>
                  </pic:blipFill>
                  <pic:spPr>
                    <a:xfrm>
                      <a:off x="0" y="0"/>
                      <a:ext cx="6134100" cy="2921000"/>
                    </a:xfrm>
                    <a:prstGeom prst="rect"/>
                    <a:ln/>
                  </pic:spPr>
                </pic:pic>
              </a:graphicData>
            </a:graphic>
          </wp:inline>
        </w:drawing>
      </w:r>
      <w:r w:rsidDel="00000000" w:rsidR="00000000" w:rsidRPr="00000000">
        <w:rPr>
          <w:rtl w:val="0"/>
        </w:rPr>
      </w:r>
    </w:p>
    <w:p w:rsidR="00000000" w:rsidDel="00000000" w:rsidP="00000000" w:rsidRDefault="00000000" w:rsidRPr="00000000" w14:paraId="00000051">
      <w:pPr>
        <w:jc w:val="left"/>
        <w:rPr>
          <w:rFonts w:ascii="Garamond" w:cs="Garamond" w:eastAsia="Garamond" w:hAnsi="Garamond"/>
          <w:sz w:val="16"/>
          <w:szCs w:val="16"/>
        </w:rPr>
      </w:pPr>
      <w:r w:rsidDel="00000000" w:rsidR="00000000" w:rsidRPr="00000000">
        <w:rPr>
          <w:rFonts w:ascii="Garamond" w:cs="Garamond" w:eastAsia="Garamond" w:hAnsi="Garamond"/>
          <w:sz w:val="16"/>
          <w:szCs w:val="16"/>
          <w:rtl w:val="0"/>
        </w:rPr>
        <w:t xml:space="preserve">Fuente: DANE - CORFICOLOMBIANA – Informe Trimestral de Dinámica Sectorial</w:t>
      </w:r>
      <w:r w:rsidDel="00000000" w:rsidR="00000000" w:rsidRPr="00000000">
        <w:rPr>
          <w:rFonts w:ascii="Garamond" w:cs="Garamond" w:eastAsia="Garamond" w:hAnsi="Garamond"/>
          <w:sz w:val="16"/>
          <w:szCs w:val="16"/>
          <w:vertAlign w:val="superscript"/>
        </w:rPr>
        <w:footnoteReference w:customMarkFollows="0" w:id="0"/>
      </w:r>
      <w:r w:rsidDel="00000000" w:rsidR="00000000" w:rsidRPr="00000000">
        <w:rPr>
          <w:rFonts w:ascii="Garamond" w:cs="Garamond" w:eastAsia="Garamond" w:hAnsi="Garamond"/>
          <w:sz w:val="16"/>
          <w:szCs w:val="16"/>
          <w:rtl w:val="0"/>
        </w:rPr>
        <w:t xml:space="preserve">.</w:t>
      </w:r>
    </w:p>
    <w:p w:rsidR="00000000" w:rsidDel="00000000" w:rsidP="00000000" w:rsidRDefault="00000000" w:rsidRPr="00000000" w14:paraId="000000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3">
      <w:pPr>
        <w:spacing w:after="240" w:befor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En relación con el valor agregado de las actividades de servicios y el PIB total, se observa que las actividades profesionales presentaron una variación anual de 3,4%, ubicándose por encima del crecimiento del PIB total, que fue de 1,8%. Este comportamiento evidencia que los servicios profesionales, técnicos, administrativos y de apoyo empresarial mantienen una dinámica positiva y constituyen un componente relevante para la prestación de servicios asociados a procesos de formación, acompañamiento y fortalecimiento institucional.</w:t>
      </w:r>
    </w:p>
    <w:p w:rsidR="00000000" w:rsidDel="00000000" w:rsidP="00000000" w:rsidRDefault="00000000" w:rsidRPr="00000000" w14:paraId="00000054">
      <w:pPr>
        <w:spacing w:after="240" w:befor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Por su parte, el sector de comunicaciones registró una variación anual de 1,2%, manteniéndose en terreno positivo, mientras que el sector de entretenimiento presentó un crecimiento de 6,6%, destacándose como una de las actividades con mejor desempeño dentro del grupo analizado. Este resultado resulta relevante para el análisis del sector, teniendo en cuenta que el objeto contractual contempla actividades socioeducativas, comunitarias, pedagógicas, culturales y de participación ciudadana.</w:t>
      </w:r>
    </w:p>
    <w:p w:rsidR="00000000" w:rsidDel="00000000" w:rsidP="00000000" w:rsidRDefault="00000000" w:rsidRPr="00000000" w14:paraId="00000055">
      <w:pPr>
        <w:spacing w:after="240" w:befor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En materia de exportaciones de servicios, la gráfica evidencia un comportamiento favorable en los principales subsectores analizados. Los servicios personales, culturales y recreativos registraron una variación anual de 12,0%; los servicios empresariales, un crecimiento de 10,3%; y los servicios de información y comunicaciones, una variación de 12,8%. Lo anterior refleja una tendencia positiva en actividades relacionadas con servicios especializados, tecnología, información, comunicaciones, cultura y recreación.</w:t>
      </w:r>
    </w:p>
    <w:p w:rsidR="00000000" w:rsidDel="00000000" w:rsidP="00000000" w:rsidRDefault="00000000" w:rsidRPr="00000000" w14:paraId="00000056">
      <w:pPr>
        <w:spacing w:after="240" w:befor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En ese sentido, al comparar el comportamiento observado en 2025 con las necesidades previstas para 2026, se identifica que el sector servicios mantiene condiciones favorables para atender procesos contractuales relacionados con formación, acompañamiento técnico, fortalecimiento de capacidades, participación ciudadana, uso de herramientas digitales, inteligencia artificial y actividades socioeducativas. Por tanto, la información sectorial permite sustentar que existe una oferta económica activa y pertinente para el desarrollo del objeto contractual durante la vigencia 2026.</w:t>
      </w:r>
    </w:p>
    <w:p w:rsidR="00000000" w:rsidDel="00000000" w:rsidP="00000000" w:rsidRDefault="00000000" w:rsidRPr="00000000" w14:paraId="00000057">
      <w:pPr>
        <w:jc w:val="both"/>
        <w:rPr>
          <w:rFonts w:ascii="Garamond" w:cs="Garamond" w:eastAsia="Garamond" w:hAnsi="Garamond"/>
          <w:sz w:val="16"/>
          <w:szCs w:val="16"/>
        </w:rPr>
      </w:pPr>
      <w:r w:rsidDel="00000000" w:rsidR="00000000" w:rsidRPr="00000000">
        <w:rPr>
          <w:rFonts w:ascii="Garamond" w:cs="Garamond" w:eastAsia="Garamond" w:hAnsi="Garamond"/>
          <w:sz w:val="16"/>
          <w:szCs w:val="16"/>
          <w:rtl w:val="0"/>
        </w:rPr>
        <w:t xml:space="preserve">chrome-extension://efaidnbmnnnibpcajpcglclefindmkaj/</w:t>
      </w:r>
      <w:hyperlink r:id="rId12">
        <w:r w:rsidDel="00000000" w:rsidR="00000000" w:rsidRPr="00000000">
          <w:rPr>
            <w:rFonts w:ascii="Garamond" w:cs="Garamond" w:eastAsia="Garamond" w:hAnsi="Garamond"/>
            <w:color w:val="1155cc"/>
            <w:sz w:val="16"/>
            <w:szCs w:val="16"/>
            <w:u w:val="single"/>
            <w:rtl w:val="0"/>
          </w:rPr>
          <w:t xml:space="preserve">https://investigaciones.corfi.com/documents/d/investigaciones-economicas/01-2026-informe-de-dinamica-sectorial-servicios-1-pdf</w:t>
        </w:r>
      </w:hyperlink>
      <w:r w:rsidDel="00000000" w:rsidR="00000000" w:rsidRPr="00000000">
        <w:rPr>
          <w:rFonts w:ascii="Garamond" w:cs="Garamond" w:eastAsia="Garamond" w:hAnsi="Garamond"/>
          <w:sz w:val="16"/>
          <w:szCs w:val="16"/>
          <w:rtl w:val="0"/>
        </w:rPr>
        <w:t xml:space="preserve">   consultada el 01/2026</w:t>
      </w:r>
    </w:p>
    <w:p w:rsidR="00000000" w:rsidDel="00000000" w:rsidP="00000000" w:rsidRDefault="00000000" w:rsidRPr="00000000" w14:paraId="000000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0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sz w:val="24"/>
          <w:szCs w:val="24"/>
        </w:rPr>
        <w:drawing>
          <wp:inline distB="114300" distT="114300" distL="114300" distR="114300">
            <wp:extent cx="6134100" cy="2489200"/>
            <wp:effectExtent b="0" l="0" r="0" t="0"/>
            <wp:docPr id="9" name="image12.png"/>
            <a:graphic>
              <a:graphicData uri="http://schemas.openxmlformats.org/drawingml/2006/picture">
                <pic:pic>
                  <pic:nvPicPr>
                    <pic:cNvPr id="0" name="image12.png"/>
                    <pic:cNvPicPr preferRelativeResize="0"/>
                  </pic:nvPicPr>
                  <pic:blipFill>
                    <a:blip r:embed="rId13"/>
                    <a:srcRect b="0" l="0" r="0" t="0"/>
                    <a:stretch>
                      <a:fillRect/>
                    </a:stretch>
                  </pic:blipFill>
                  <pic:spPr>
                    <a:xfrm>
                      <a:off x="0" y="0"/>
                      <a:ext cx="6134100" cy="2489200"/>
                    </a:xfrm>
                    <a:prstGeom prst="rect"/>
                    <a:ln/>
                  </pic:spPr>
                </pic:pic>
              </a:graphicData>
            </a:graphic>
          </wp:inline>
        </w:drawing>
      </w:r>
      <w:r w:rsidDel="00000000" w:rsidR="00000000" w:rsidRPr="00000000">
        <w:rPr>
          <w:rtl w:val="0"/>
        </w:rPr>
      </w:r>
    </w:p>
    <w:p w:rsidR="00000000" w:rsidDel="00000000" w:rsidP="00000000" w:rsidRDefault="00000000" w:rsidRPr="00000000" w14:paraId="000000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B">
      <w:pPr>
        <w:jc w:val="center"/>
        <w:rPr>
          <w:rFonts w:ascii="Garamond" w:cs="Garamond" w:eastAsia="Garamond" w:hAnsi="Garamond"/>
          <w:sz w:val="16"/>
          <w:szCs w:val="16"/>
        </w:rPr>
      </w:pPr>
      <w:r w:rsidDel="00000000" w:rsidR="00000000" w:rsidRPr="00000000">
        <w:rPr>
          <w:rFonts w:ascii="Garamond" w:cs="Garamond" w:eastAsia="Garamond" w:hAnsi="Garamond"/>
          <w:sz w:val="16"/>
          <w:szCs w:val="16"/>
          <w:rtl w:val="0"/>
        </w:rPr>
        <w:t xml:space="preserve">Fuente: DANE - CORFICOLOMBIANA – Informe Trimestral de Dinámica Sectorial</w:t>
      </w:r>
      <w:r w:rsidDel="00000000" w:rsidR="00000000" w:rsidRPr="00000000">
        <w:rPr>
          <w:rFonts w:ascii="Garamond" w:cs="Garamond" w:eastAsia="Garamond" w:hAnsi="Garamond"/>
          <w:sz w:val="16"/>
          <w:szCs w:val="16"/>
          <w:vertAlign w:val="superscript"/>
        </w:rPr>
        <w:footnoteReference w:customMarkFollows="0" w:id="1"/>
      </w:r>
      <w:r w:rsidDel="00000000" w:rsidR="00000000" w:rsidRPr="00000000">
        <w:rPr>
          <w:rFonts w:ascii="Garamond" w:cs="Garamond" w:eastAsia="Garamond" w:hAnsi="Garamond"/>
          <w:sz w:val="16"/>
          <w:szCs w:val="16"/>
          <w:rtl w:val="0"/>
        </w:rPr>
        <w:t xml:space="preserve">.</w:t>
      </w:r>
    </w:p>
    <w:p w:rsidR="00000000" w:rsidDel="00000000" w:rsidP="00000000" w:rsidRDefault="00000000" w:rsidRPr="00000000" w14:paraId="000000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05D">
      <w:pPr>
        <w:spacing w:after="240" w:befor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El valor agregado de las actividades profesionales presentó una recuperación progresiva durante 2025, alcanzando una variación anual de 1,2% al tercer trimestre de 2025. Aunque este comportamiento se mantiene en terreno positivo, se ubicó por debajo del crecimiento del PIB total, que registró una variación de 3,4% para el mismo periodo.</w:t>
      </w:r>
    </w:p>
    <w:p w:rsidR="00000000" w:rsidDel="00000000" w:rsidP="00000000" w:rsidRDefault="00000000" w:rsidRPr="00000000" w14:paraId="0000005E">
      <w:pPr>
        <w:spacing w:after="240" w:befor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Lo anterior evidencia que, si bien las actividades profesionales continúan aportando al crecimiento económico, su ritmo de recuperación ha sido más moderado frente al desempeño general de la economía. No obstante, la relación histórica entre las actividades profesionales y el PIB total permite identificar que este sector mantiene una tendencia de acompañamiento a la dinámica económica nacional, especialmente en servicios técnicos, administrativos, consultorías, formación, acompañamiento institucional y apoyo especializado.</w:t>
      </w:r>
    </w:p>
    <w:p w:rsidR="00000000" w:rsidDel="00000000" w:rsidP="00000000" w:rsidRDefault="00000000" w:rsidRPr="00000000" w14:paraId="0000005F">
      <w:pPr>
        <w:spacing w:after="240" w:befor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En este sentido, para la vigencia 2026, el comportamiento observado en 2025 permite considerar que las actividades profesionales conservan una perspectiva favorable, aunque con un crecimiento moderado. Esto resulta pertinente para el presente análisis del sector, teniendo en cuenta que el objeto contractual requiere la prestación de servicios profesionales, técnicos, pedagógicos y metodológicos orientados al fortalecimiento de capacidades, la participación ciudadana y el acompañamiento a organizaciones sociales e instancias comunitarias.</w:t>
      </w:r>
    </w:p>
    <w:p w:rsidR="00000000" w:rsidDel="00000000" w:rsidP="00000000" w:rsidRDefault="00000000" w:rsidRPr="00000000" w14:paraId="00000060">
      <w:pPr>
        <w:jc w:val="center"/>
        <w:rPr>
          <w:rFonts w:ascii="Garamond" w:cs="Garamond" w:eastAsia="Garamond" w:hAnsi="Garamond"/>
          <w:sz w:val="24"/>
          <w:szCs w:val="24"/>
        </w:rPr>
      </w:pPr>
      <w:r w:rsidDel="00000000" w:rsidR="00000000" w:rsidRPr="00000000">
        <w:rPr>
          <w:rFonts w:ascii="Garamond" w:cs="Garamond" w:eastAsia="Garamond" w:hAnsi="Garamond"/>
          <w:sz w:val="24"/>
          <w:szCs w:val="24"/>
        </w:rPr>
        <w:drawing>
          <wp:inline distB="114300" distT="114300" distL="114300" distR="114300">
            <wp:extent cx="6134100" cy="2717800"/>
            <wp:effectExtent b="0" l="0" r="0" t="0"/>
            <wp:docPr id="26" name="image24.png"/>
            <a:graphic>
              <a:graphicData uri="http://schemas.openxmlformats.org/drawingml/2006/picture">
                <pic:pic>
                  <pic:nvPicPr>
                    <pic:cNvPr id="0" name="image24.png"/>
                    <pic:cNvPicPr preferRelativeResize="0"/>
                  </pic:nvPicPr>
                  <pic:blipFill>
                    <a:blip r:embed="rId14"/>
                    <a:srcRect b="0" l="0" r="0" t="0"/>
                    <a:stretch>
                      <a:fillRect/>
                    </a:stretch>
                  </pic:blipFill>
                  <pic:spPr>
                    <a:xfrm>
                      <a:off x="0" y="0"/>
                      <a:ext cx="6134100" cy="2717800"/>
                    </a:xfrm>
                    <a:prstGeom prst="rect"/>
                    <a:ln/>
                  </pic:spPr>
                </pic:pic>
              </a:graphicData>
            </a:graphic>
          </wp:inline>
        </w:drawing>
      </w:r>
      <w:r w:rsidDel="00000000" w:rsidR="00000000" w:rsidRPr="00000000">
        <w:rPr>
          <w:rtl w:val="0"/>
        </w:rPr>
      </w:r>
    </w:p>
    <w:p w:rsidR="00000000" w:rsidDel="00000000" w:rsidP="00000000" w:rsidRDefault="00000000" w:rsidRPr="00000000" w14:paraId="000000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63">
      <w:pPr>
        <w:jc w:val="center"/>
        <w:rPr>
          <w:rFonts w:ascii="Garamond" w:cs="Garamond" w:eastAsia="Garamond" w:hAnsi="Garamond"/>
          <w:sz w:val="16"/>
          <w:szCs w:val="16"/>
        </w:rPr>
      </w:pPr>
      <w:r w:rsidDel="00000000" w:rsidR="00000000" w:rsidRPr="00000000">
        <w:rPr>
          <w:rFonts w:ascii="Garamond" w:cs="Garamond" w:eastAsia="Garamond" w:hAnsi="Garamond"/>
          <w:sz w:val="16"/>
          <w:szCs w:val="16"/>
          <w:rtl w:val="0"/>
        </w:rPr>
        <w:t xml:space="preserve">Fuente: DANE - CORFICOLOMBIANA – Informe Trimestral de Dinámica Sectorial</w:t>
      </w:r>
      <w:r w:rsidDel="00000000" w:rsidR="00000000" w:rsidRPr="00000000">
        <w:rPr>
          <w:rFonts w:ascii="Garamond" w:cs="Garamond" w:eastAsia="Garamond" w:hAnsi="Garamond"/>
          <w:sz w:val="16"/>
          <w:szCs w:val="16"/>
          <w:vertAlign w:val="superscript"/>
        </w:rPr>
        <w:footnoteReference w:customMarkFollows="0" w:id="2"/>
      </w:r>
      <w:r w:rsidDel="00000000" w:rsidR="00000000" w:rsidRPr="00000000">
        <w:rPr>
          <w:rFonts w:ascii="Garamond" w:cs="Garamond" w:eastAsia="Garamond" w:hAnsi="Garamond"/>
          <w:sz w:val="16"/>
          <w:szCs w:val="16"/>
          <w:rtl w:val="0"/>
        </w:rPr>
        <w:t xml:space="preserve">.</w:t>
      </w:r>
    </w:p>
    <w:p w:rsidR="00000000" w:rsidDel="00000000" w:rsidP="00000000" w:rsidRDefault="00000000" w:rsidRPr="00000000" w14:paraId="000000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66">
      <w:pPr>
        <w:pStyle w:val="Heading1"/>
        <w:numPr>
          <w:ilvl w:val="1"/>
          <w:numId w:val="10"/>
        </w:numPr>
        <w:tabs>
          <w:tab w:val="left" w:leader="none" w:pos="838"/>
          <w:tab w:val="left" w:leader="none" w:pos="839"/>
        </w:tabs>
        <w:ind w:left="838" w:hanging="721"/>
        <w:rPr>
          <w:rFonts w:ascii="Garamond" w:cs="Garamond" w:eastAsia="Garamond" w:hAnsi="Garamond"/>
        </w:rPr>
      </w:pPr>
      <w:r w:rsidDel="00000000" w:rsidR="00000000" w:rsidRPr="00000000">
        <w:rPr>
          <w:rFonts w:ascii="Garamond" w:cs="Garamond" w:eastAsia="Garamond" w:hAnsi="Garamond"/>
          <w:rtl w:val="0"/>
        </w:rPr>
        <w:t xml:space="preserve">Importancia del sector en el contexto local y nacional.</w:t>
      </w:r>
    </w:p>
    <w:p w:rsidR="00000000" w:rsidDel="00000000" w:rsidP="00000000" w:rsidRDefault="00000000" w:rsidRPr="00000000" w14:paraId="000000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left"/>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 w:lineRule="auto"/>
        <w:ind w:left="118" w:right="134"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Atendiendo a lo establecido en el artículo 2.2.1.1.1.6.1 del Decreto 1082 de 2015 sobre el deber de las entidades estatales de efectuar el análisis necesario para conocer el sector relativo al objeto del proceso, el Fondo de Desarrollo Local de San Cristóbal, adopta los lineamientos orientadores establecidos en los manuales y guías implementados por Colombia Compra Eficiente.</w:t>
      </w:r>
    </w:p>
    <w:p w:rsidR="00000000" w:rsidDel="00000000" w:rsidP="00000000" w:rsidRDefault="00000000" w:rsidRPr="00000000" w14:paraId="000000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8"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Según la división de la economía clásica, los sectores de la economía son los siguientes</w:t>
      </w:r>
      <w:hyperlink w:anchor="_heading=h.lrbdoqutjzat">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w:t>
        </w:r>
      </w:hyperlink>
      <w:r w:rsidDel="00000000" w:rsidR="00000000" w:rsidRPr="00000000">
        <w:rPr>
          <w:rtl w:val="0"/>
        </w:rPr>
      </w:r>
    </w:p>
    <w:p w:rsidR="00000000" w:rsidDel="00000000" w:rsidP="00000000" w:rsidRDefault="00000000" w:rsidRPr="00000000" w14:paraId="000000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8"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tbl>
      <w:tblPr>
        <w:tblStyle w:val="Table2"/>
        <w:tblW w:w="8828.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405"/>
        <w:gridCol w:w="3480"/>
        <w:gridCol w:w="2943"/>
        <w:tblGridChange w:id="0">
          <w:tblGrid>
            <w:gridCol w:w="2405"/>
            <w:gridCol w:w="3480"/>
            <w:gridCol w:w="2943"/>
          </w:tblGrid>
        </w:tblGridChange>
      </w:tblGrid>
      <w:tr>
        <w:trPr>
          <w:cantSplit w:val="0"/>
          <w:tblHeader w:val="0"/>
        </w:trPr>
        <w:tc>
          <w:tcPr/>
          <w:p w:rsidR="00000000" w:rsidDel="00000000" w:rsidP="00000000" w:rsidRDefault="00000000" w:rsidRPr="00000000" w14:paraId="0000006C">
            <w:pPr>
              <w:jc w:val="center"/>
              <w:rPr>
                <w:rFonts w:ascii="Garamond" w:cs="Garamond" w:eastAsia="Garamond" w:hAnsi="Garamond"/>
                <w:b w:val="1"/>
                <w:bCs w:val="1"/>
                <w:sz w:val="18"/>
                <w:szCs w:val="18"/>
              </w:rPr>
            </w:pPr>
            <w:r w:rsidDel="00000000" w:rsidR="00000000" w:rsidRPr="00000000">
              <w:rPr>
                <w:rFonts w:ascii="Garamond" w:cs="Garamond" w:eastAsia="Garamond" w:hAnsi="Garamond"/>
                <w:b w:val="1"/>
                <w:bCs w:val="1"/>
                <w:sz w:val="18"/>
                <w:szCs w:val="18"/>
                <w:rtl w:val="0"/>
              </w:rPr>
              <w:t xml:space="preserve">SECTORES ECONÓMICOS</w:t>
            </w:r>
          </w:p>
        </w:tc>
        <w:tc>
          <w:tcPr/>
          <w:p w:rsidR="00000000" w:rsidDel="00000000" w:rsidP="00000000" w:rsidRDefault="00000000" w:rsidRPr="00000000" w14:paraId="0000006D">
            <w:pPr>
              <w:jc w:val="center"/>
              <w:rPr>
                <w:rFonts w:ascii="Garamond" w:cs="Garamond" w:eastAsia="Garamond" w:hAnsi="Garamond"/>
                <w:b w:val="1"/>
                <w:bCs w:val="1"/>
                <w:sz w:val="18"/>
                <w:szCs w:val="18"/>
              </w:rPr>
            </w:pPr>
            <w:r w:rsidDel="00000000" w:rsidR="00000000" w:rsidRPr="00000000">
              <w:rPr>
                <w:rFonts w:ascii="Garamond" w:cs="Garamond" w:eastAsia="Garamond" w:hAnsi="Garamond"/>
                <w:b w:val="1"/>
                <w:bCs w:val="1"/>
                <w:sz w:val="18"/>
                <w:szCs w:val="18"/>
                <w:rtl w:val="0"/>
              </w:rPr>
              <w:t xml:space="preserve">DEFINICIÓN</w:t>
            </w:r>
          </w:p>
        </w:tc>
        <w:tc>
          <w:tcPr/>
          <w:p w:rsidR="00000000" w:rsidDel="00000000" w:rsidP="00000000" w:rsidRDefault="00000000" w:rsidRPr="00000000" w14:paraId="0000006E">
            <w:pPr>
              <w:jc w:val="center"/>
              <w:rPr>
                <w:rFonts w:ascii="Garamond" w:cs="Garamond" w:eastAsia="Garamond" w:hAnsi="Garamond"/>
                <w:b w:val="1"/>
                <w:bCs w:val="1"/>
                <w:sz w:val="18"/>
                <w:szCs w:val="18"/>
              </w:rPr>
            </w:pPr>
            <w:r w:rsidDel="00000000" w:rsidR="00000000" w:rsidRPr="00000000">
              <w:rPr>
                <w:rFonts w:ascii="Garamond" w:cs="Garamond" w:eastAsia="Garamond" w:hAnsi="Garamond"/>
                <w:b w:val="1"/>
                <w:bCs w:val="1"/>
                <w:sz w:val="18"/>
                <w:szCs w:val="18"/>
                <w:rtl w:val="0"/>
              </w:rPr>
              <w:t xml:space="preserve">ACTIVIDADES</w:t>
            </w:r>
          </w:p>
        </w:tc>
      </w:tr>
      <w:tr>
        <w:trPr>
          <w:cantSplit w:val="0"/>
          <w:tblHeader w:val="0"/>
        </w:trPr>
        <w:tc>
          <w:tcPr/>
          <w:p w:rsidR="00000000" w:rsidDel="00000000" w:rsidP="00000000" w:rsidRDefault="00000000" w:rsidRPr="00000000" w14:paraId="0000006F">
            <w:pPr>
              <w:rPr>
                <w:rFonts w:ascii="Garamond" w:cs="Garamond" w:eastAsia="Garamond" w:hAnsi="Garamond"/>
                <w:sz w:val="18"/>
                <w:szCs w:val="18"/>
              </w:rPr>
            </w:pPr>
            <w:r w:rsidDel="00000000" w:rsidR="00000000" w:rsidRPr="00000000">
              <w:rPr>
                <w:rFonts w:ascii="Garamond" w:cs="Garamond" w:eastAsia="Garamond" w:hAnsi="Garamond"/>
                <w:b w:val="1"/>
                <w:bCs w:val="1"/>
                <w:sz w:val="18"/>
                <w:szCs w:val="18"/>
                <w:rtl w:val="0"/>
              </w:rPr>
              <w:t xml:space="preserve">SECTOR PRIMARIO</w:t>
            </w:r>
            <w:r w:rsidDel="00000000" w:rsidR="00000000" w:rsidRPr="00000000">
              <w:rPr>
                <w:rtl w:val="0"/>
              </w:rPr>
            </w:r>
          </w:p>
        </w:tc>
        <w:tc>
          <w:tcPr/>
          <w:p w:rsidR="00000000" w:rsidDel="00000000" w:rsidP="00000000" w:rsidRDefault="00000000" w:rsidRPr="00000000" w14:paraId="00000070">
            <w:pPr>
              <w:jc w:val="both"/>
              <w:rPr>
                <w:rFonts w:ascii="Garamond" w:cs="Garamond" w:eastAsia="Garamond" w:hAnsi="Garamond"/>
                <w:sz w:val="18"/>
                <w:szCs w:val="18"/>
              </w:rPr>
            </w:pPr>
            <w:r w:rsidDel="00000000" w:rsidR="00000000" w:rsidRPr="00000000">
              <w:rPr>
                <w:rFonts w:ascii="Garamond" w:cs="Garamond" w:eastAsia="Garamond" w:hAnsi="Garamond"/>
                <w:sz w:val="18"/>
                <w:szCs w:val="18"/>
                <w:rtl w:val="0"/>
              </w:rPr>
              <w:t xml:space="preserve">Es el sector que obtiene el producto de sus actividades directamente de la naturaleza, sin ningún proceso de transformación. Dentro de este sector se encuentran la agricultura, la ganadería, la silvicultura, la caza y la pesca. No se incluyen dentro de este sector a la minería y a la extracción de petróleo, las cuales se consideran parte del sector industrial.</w:t>
            </w:r>
          </w:p>
        </w:tc>
        <w:tc>
          <w:tcPr/>
          <w:p w:rsidR="00000000" w:rsidDel="00000000" w:rsidP="00000000" w:rsidRDefault="00000000" w:rsidRPr="00000000" w14:paraId="00000071">
            <w:pPr>
              <w:jc w:val="both"/>
              <w:rPr>
                <w:rFonts w:ascii="Garamond" w:cs="Garamond" w:eastAsia="Garamond" w:hAnsi="Garamond"/>
                <w:sz w:val="18"/>
                <w:szCs w:val="18"/>
              </w:rPr>
            </w:pPr>
            <w:r w:rsidDel="00000000" w:rsidR="00000000" w:rsidRPr="00000000">
              <w:rPr>
                <w:rFonts w:ascii="Garamond" w:cs="Garamond" w:eastAsia="Garamond" w:hAnsi="Garamond"/>
                <w:sz w:val="18"/>
                <w:szCs w:val="18"/>
                <w:rtl w:val="0"/>
              </w:rPr>
              <w:t xml:space="preserve">Sector Agropecuario, Sector Ganadero, Sector Pesquero, Sector Minero, Sector Forestal, Sector de Silvicultura</w:t>
            </w:r>
          </w:p>
        </w:tc>
      </w:tr>
      <w:tr>
        <w:trPr>
          <w:cantSplit w:val="0"/>
          <w:tblHeader w:val="0"/>
        </w:trPr>
        <w:tc>
          <w:tcPr/>
          <w:p w:rsidR="00000000" w:rsidDel="00000000" w:rsidP="00000000" w:rsidRDefault="00000000" w:rsidRPr="00000000" w14:paraId="00000072">
            <w:pPr>
              <w:rPr>
                <w:rFonts w:ascii="Garamond" w:cs="Garamond" w:eastAsia="Garamond" w:hAnsi="Garamond"/>
                <w:sz w:val="18"/>
                <w:szCs w:val="18"/>
              </w:rPr>
            </w:pPr>
            <w:r w:rsidDel="00000000" w:rsidR="00000000" w:rsidRPr="00000000">
              <w:rPr>
                <w:rFonts w:ascii="Garamond" w:cs="Garamond" w:eastAsia="Garamond" w:hAnsi="Garamond"/>
                <w:b w:val="1"/>
                <w:bCs w:val="1"/>
                <w:sz w:val="18"/>
                <w:szCs w:val="18"/>
                <w:rtl w:val="0"/>
              </w:rPr>
              <w:t xml:space="preserve">SECTOR SECUNDARIO</w:t>
            </w:r>
            <w:r w:rsidDel="00000000" w:rsidR="00000000" w:rsidRPr="00000000">
              <w:rPr>
                <w:rtl w:val="0"/>
              </w:rPr>
            </w:r>
          </w:p>
        </w:tc>
        <w:tc>
          <w:tcPr/>
          <w:p w:rsidR="00000000" w:rsidDel="00000000" w:rsidP="00000000" w:rsidRDefault="00000000" w:rsidRPr="00000000" w14:paraId="00000073">
            <w:pPr>
              <w:jc w:val="both"/>
              <w:rPr>
                <w:rFonts w:ascii="Garamond" w:cs="Garamond" w:eastAsia="Garamond" w:hAnsi="Garamond"/>
                <w:sz w:val="18"/>
                <w:szCs w:val="18"/>
              </w:rPr>
            </w:pPr>
            <w:r w:rsidDel="00000000" w:rsidR="00000000" w:rsidRPr="00000000">
              <w:rPr>
                <w:rFonts w:ascii="Garamond" w:cs="Garamond" w:eastAsia="Garamond" w:hAnsi="Garamond"/>
                <w:sz w:val="18"/>
                <w:szCs w:val="18"/>
                <w:rtl w:val="0"/>
              </w:rPr>
              <w:t xml:space="preserve">Comprende todas las actividades económicas de un país relacionadas con la transformación industrial de los alimentos y otros tipos de bienes o mercancías, los cuales se utilizan como base para la fabricación de nuevos productos. Se divide en dos sub sectores: industrial extractivo e industrial de transformación: Industrial extractivo: extracción minera y de petróleo. Industrial de transformación: envasado de legumbres y frutas, embotellado de refrescos, fabricación de abonos y fertilizantes, vehículos, cementos, aparatos electrodomésticos, etc</w:t>
            </w:r>
          </w:p>
        </w:tc>
        <w:tc>
          <w:tcPr/>
          <w:p w:rsidR="00000000" w:rsidDel="00000000" w:rsidP="00000000" w:rsidRDefault="00000000" w:rsidRPr="00000000" w14:paraId="00000074">
            <w:pPr>
              <w:jc w:val="both"/>
              <w:rPr>
                <w:rFonts w:ascii="Garamond" w:cs="Garamond" w:eastAsia="Garamond" w:hAnsi="Garamond"/>
                <w:sz w:val="18"/>
                <w:szCs w:val="18"/>
              </w:rPr>
            </w:pPr>
            <w:r w:rsidDel="00000000" w:rsidR="00000000" w:rsidRPr="00000000">
              <w:rPr>
                <w:rFonts w:ascii="Garamond" w:cs="Garamond" w:eastAsia="Garamond" w:hAnsi="Garamond"/>
                <w:sz w:val="18"/>
                <w:szCs w:val="18"/>
                <w:rtl w:val="0"/>
              </w:rPr>
              <w:t xml:space="preserve">Sector Industrial, Sector energético (eléctrico, gas y vapor), Sector de la Construcción, Sector Minero, Industria Textil</w:t>
            </w:r>
          </w:p>
        </w:tc>
      </w:tr>
      <w:tr>
        <w:trPr>
          <w:cantSplit w:val="0"/>
          <w:tblHeader w:val="0"/>
        </w:trPr>
        <w:tc>
          <w:tcPr/>
          <w:p w:rsidR="00000000" w:rsidDel="00000000" w:rsidP="00000000" w:rsidRDefault="00000000" w:rsidRPr="00000000" w14:paraId="00000075">
            <w:pPr>
              <w:rPr>
                <w:rFonts w:ascii="Garamond" w:cs="Garamond" w:eastAsia="Garamond" w:hAnsi="Garamond"/>
                <w:sz w:val="18"/>
                <w:szCs w:val="18"/>
              </w:rPr>
            </w:pPr>
            <w:r w:rsidDel="00000000" w:rsidR="00000000" w:rsidRPr="00000000">
              <w:rPr>
                <w:rFonts w:ascii="Garamond" w:cs="Garamond" w:eastAsia="Garamond" w:hAnsi="Garamond"/>
                <w:b w:val="1"/>
                <w:bCs w:val="1"/>
                <w:sz w:val="18"/>
                <w:szCs w:val="18"/>
                <w:rtl w:val="0"/>
              </w:rPr>
              <w:t xml:space="preserve">SECTOR TERCIARIO</w:t>
            </w:r>
            <w:r w:rsidDel="00000000" w:rsidR="00000000" w:rsidRPr="00000000">
              <w:rPr>
                <w:rtl w:val="0"/>
              </w:rPr>
            </w:r>
          </w:p>
        </w:tc>
        <w:tc>
          <w:tcPr/>
          <w:p w:rsidR="00000000" w:rsidDel="00000000" w:rsidP="00000000" w:rsidRDefault="00000000" w:rsidRPr="00000000" w14:paraId="00000076">
            <w:pPr>
              <w:jc w:val="both"/>
              <w:rPr>
                <w:rFonts w:ascii="Garamond" w:cs="Garamond" w:eastAsia="Garamond" w:hAnsi="Garamond"/>
                <w:sz w:val="18"/>
                <w:szCs w:val="18"/>
              </w:rPr>
            </w:pPr>
            <w:r w:rsidDel="00000000" w:rsidR="00000000" w:rsidRPr="00000000">
              <w:rPr>
                <w:rFonts w:ascii="Garamond" w:cs="Garamond" w:eastAsia="Garamond" w:hAnsi="Garamond"/>
                <w:sz w:val="18"/>
                <w:szCs w:val="18"/>
                <w:rtl w:val="0"/>
              </w:rPr>
              <w:t xml:space="preserve">Incluye todas aquellas actividades que no producen una mercancía, pero que son necesarias para el funcionamiento de la economía y aunque no son productivas contribuyen a la formación de ingresos, lo cual se refleja en la producción nacional. Como ejemplo de ello tenemos el comercio, restaurantes, hoteles, el transporte, los servicios financieros, educativos, comunicaciones, etc.</w:t>
            </w:r>
          </w:p>
        </w:tc>
        <w:tc>
          <w:tcPr/>
          <w:p w:rsidR="00000000" w:rsidDel="00000000" w:rsidP="00000000" w:rsidRDefault="00000000" w:rsidRPr="00000000" w14:paraId="00000077">
            <w:pPr>
              <w:jc w:val="both"/>
              <w:rPr>
                <w:rFonts w:ascii="Garamond" w:cs="Garamond" w:eastAsia="Garamond" w:hAnsi="Garamond"/>
                <w:sz w:val="18"/>
                <w:szCs w:val="18"/>
              </w:rPr>
            </w:pPr>
            <w:r w:rsidDel="00000000" w:rsidR="00000000" w:rsidRPr="00000000">
              <w:rPr>
                <w:rFonts w:ascii="Garamond" w:cs="Garamond" w:eastAsia="Garamond" w:hAnsi="Garamond"/>
                <w:sz w:val="18"/>
                <w:szCs w:val="18"/>
                <w:rtl w:val="0"/>
              </w:rPr>
              <w:t xml:space="preserve">Sector de Transportes, Sector de Comunicaciones, Sector Turístico, Sector Sanitario, Sector Educativo, Sector de las Artes, Sector Financiero, Sector de la Administración, ONG, entre otros.</w:t>
            </w:r>
          </w:p>
        </w:tc>
      </w:tr>
    </w:tbl>
    <w:p w:rsidR="00000000" w:rsidDel="00000000" w:rsidP="00000000" w:rsidRDefault="00000000" w:rsidRPr="00000000" w14:paraId="000000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left"/>
        <w:rPr>
          <w:rFonts w:ascii="Garamond" w:cs="Garamond" w:eastAsia="Garamond" w:hAnsi="Garamond"/>
          <w:b w:val="0"/>
          <w:bCs w:val="0"/>
          <w:i w:val="0"/>
          <w:iCs w:val="0"/>
          <w:smallCaps w:val="0"/>
          <w:strike w:val="0"/>
          <w:color w:val="000000"/>
          <w:sz w:val="13"/>
          <w:szCs w:val="13"/>
          <w:u w:val="none"/>
          <w:shd w:fill="auto" w:val="clear"/>
          <w:vertAlign w:val="baseline"/>
        </w:rPr>
      </w:pPr>
      <w:hyperlink r:id="rId15">
        <w:r w:rsidDel="00000000" w:rsidR="00000000" w:rsidRPr="00000000">
          <w:rPr>
            <w:rFonts w:ascii="Garamond" w:cs="Garamond" w:eastAsia="Garamond" w:hAnsi="Garamond"/>
            <w:b w:val="0"/>
            <w:bCs w:val="0"/>
            <w:i w:val="0"/>
            <w:iCs w:val="0"/>
            <w:smallCaps w:val="0"/>
            <w:strike w:val="0"/>
            <w:color w:val="1155cc"/>
            <w:sz w:val="13"/>
            <w:szCs w:val="13"/>
            <w:u w:val="single"/>
            <w:shd w:fill="auto" w:val="clear"/>
            <w:vertAlign w:val="baseline"/>
            <w:rtl w:val="0"/>
          </w:rPr>
          <w:t xml:space="preserve">             </w:t>
        </w:r>
      </w:hyperlink>
      <w:hyperlink r:id="rId16">
        <w:r w:rsidDel="00000000" w:rsidR="00000000" w:rsidRPr="00000000">
          <w:rPr>
            <w:rFonts w:ascii="Garamond" w:cs="Garamond" w:eastAsia="Garamond" w:hAnsi="Garamond"/>
            <w:b w:val="0"/>
            <w:bCs w:val="0"/>
            <w:i w:val="0"/>
            <w:iCs w:val="0"/>
            <w:smallCaps w:val="0"/>
            <w:strike w:val="0"/>
            <w:color w:val="1155cc"/>
            <w:sz w:val="14"/>
            <w:szCs w:val="14"/>
            <w:u w:val="single"/>
            <w:shd w:fill="auto" w:val="clear"/>
            <w:vertAlign w:val="baseline"/>
            <w:rtl w:val="0"/>
          </w:rPr>
          <w:t xml:space="preserve">Fuente: https://enciclopedia.banrepcultural.org/index.php/Sectores_econ%C3%B3micos#Divisi.C3.B3n_seg.C3.BAn_la_econom.C3.ADa_cl.C3.A1sica</w:t>
        </w:r>
      </w:hyperlink>
      <w:r w:rsidDel="00000000" w:rsidR="00000000" w:rsidRPr="00000000">
        <w:rPr>
          <w:rtl w:val="0"/>
        </w:rPr>
      </w:r>
    </w:p>
    <w:p w:rsidR="00000000" w:rsidDel="00000000" w:rsidP="00000000" w:rsidRDefault="00000000" w:rsidRPr="00000000" w14:paraId="000000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 w:line="240" w:lineRule="auto"/>
        <w:ind w:left="0" w:right="0" w:firstLine="0"/>
        <w:jc w:val="left"/>
        <w:rPr>
          <w:rFonts w:ascii="Garamond" w:cs="Garamond" w:eastAsia="Garamond" w:hAnsi="Garamond"/>
          <w:b w:val="0"/>
          <w:bCs w:val="0"/>
          <w:i w:val="0"/>
          <w:iCs w:val="0"/>
          <w:smallCaps w:val="0"/>
          <w:strike w:val="0"/>
          <w:color w:val="000000"/>
          <w:sz w:val="13"/>
          <w:szCs w:val="13"/>
          <w:u w:val="none"/>
          <w:shd w:fill="auto" w:val="clear"/>
          <w:vertAlign w:val="baseline"/>
        </w:rPr>
      </w:pPr>
      <w:r w:rsidDel="00000000" w:rsidR="00000000" w:rsidRPr="00000000">
        <w:rPr>
          <w:rtl w:val="0"/>
        </w:rPr>
      </w:r>
    </w:p>
    <w:p w:rsidR="00000000" w:rsidDel="00000000" w:rsidP="00000000" w:rsidRDefault="00000000" w:rsidRPr="00000000" w14:paraId="000000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7" w:line="235" w:lineRule="auto"/>
        <w:ind w:left="118" w:right="21"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De acuerdo con las necesidades establecidas por el Fondo de Desarrollo Local de San Cristóbal FDLSC, este se encuentra en el sector terciario que abarca todas las actividades económicas que tienen que ver con sectores como </w:t>
      </w:r>
      <w:r w:rsidDel="00000000" w:rsidR="00000000" w:rsidRPr="00000000">
        <w:rPr>
          <w:rFonts w:ascii="Garamond" w:cs="Garamond" w:eastAsia="Garamond" w:hAnsi="Garamond"/>
          <w:sz w:val="24"/>
          <w:szCs w:val="24"/>
          <w:rtl w:val="0"/>
        </w:rPr>
        <w:t xml:space="preserve">“Sector de Tecnologías de la Información y las Comunicaciones (Sector TIC)”, “Actividades profesionales, científicas y técnicas”, “desarrollo social/educativo”</w:t>
      </w: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 y otras actividades de servicios”, sectores dentro de los cuales se enmarcan las necesidades de la entidad.</w:t>
      </w:r>
    </w:p>
    <w:p w:rsidR="00000000" w:rsidDel="00000000" w:rsidP="00000000" w:rsidRDefault="00000000" w:rsidRPr="00000000" w14:paraId="000000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7" w:line="235" w:lineRule="auto"/>
        <w:ind w:left="118" w:right="21" w:firstLine="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0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left"/>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7D">
      <w:pPr>
        <w:pStyle w:val="Heading1"/>
        <w:numPr>
          <w:ilvl w:val="1"/>
          <w:numId w:val="9"/>
        </w:numPr>
        <w:tabs>
          <w:tab w:val="left" w:leader="none" w:pos="838"/>
          <w:tab w:val="left" w:leader="none" w:pos="839"/>
        </w:tabs>
        <w:ind w:left="838" w:hanging="721"/>
        <w:rPr>
          <w:rFonts w:ascii="Garamond" w:cs="Garamond" w:eastAsia="Garamond" w:hAnsi="Garamond"/>
        </w:rPr>
      </w:pPr>
      <w:r w:rsidDel="00000000" w:rsidR="00000000" w:rsidRPr="00000000">
        <w:rPr>
          <w:rFonts w:ascii="Garamond" w:cs="Garamond" w:eastAsia="Garamond" w:hAnsi="Garamond"/>
          <w:rtl w:val="0"/>
        </w:rPr>
        <w:t xml:space="preserve">ECONÓMICO</w:t>
      </w:r>
    </w:p>
    <w:p w:rsidR="00000000" w:rsidDel="00000000" w:rsidP="00000000" w:rsidRDefault="00000000" w:rsidRPr="00000000" w14:paraId="000000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1"/>
          <w:bCs w:val="1"/>
          <w:i w:val="0"/>
          <w:iCs w:val="0"/>
          <w:smallCaps w:val="0"/>
          <w:strike w:val="0"/>
          <w:color w:val="000000"/>
          <w:sz w:val="23"/>
          <w:szCs w:val="23"/>
          <w:u w:val="none"/>
          <w:shd w:fill="auto" w:val="clear"/>
          <w:vertAlign w:val="baseline"/>
        </w:rPr>
      </w:pPr>
      <w:r w:rsidDel="00000000" w:rsidR="00000000" w:rsidRPr="00000000">
        <w:rPr>
          <w:rtl w:val="0"/>
        </w:rPr>
      </w:r>
    </w:p>
    <w:p w:rsidR="00000000" w:rsidDel="00000000" w:rsidP="00000000" w:rsidRDefault="00000000" w:rsidRPr="00000000" w14:paraId="0000007F">
      <w:pPr>
        <w:keepNext w:val="0"/>
        <w:keepLines w:val="0"/>
        <w:pageBreakBefore w:val="0"/>
        <w:widowControl w:val="0"/>
        <w:numPr>
          <w:ilvl w:val="2"/>
          <w:numId w:val="9"/>
        </w:numPr>
        <w:pBdr>
          <w:top w:space="0" w:sz="0" w:val="nil"/>
          <w:left w:space="0" w:sz="0" w:val="nil"/>
          <w:bottom w:space="0" w:sz="0" w:val="nil"/>
          <w:right w:space="0" w:sz="0" w:val="nil"/>
          <w:between w:space="0" w:sz="0" w:val="nil"/>
        </w:pBdr>
        <w:shd w:fill="auto" w:val="clear"/>
        <w:tabs>
          <w:tab w:val="left" w:leader="none" w:pos="838"/>
          <w:tab w:val="left" w:leader="none" w:pos="839"/>
        </w:tabs>
        <w:spacing w:after="0" w:before="0" w:line="240" w:lineRule="auto"/>
        <w:ind w:left="838" w:right="0" w:hanging="721"/>
        <w:jc w:val="left"/>
        <w:rPr>
          <w:rFonts w:ascii="Garamond" w:cs="Garamond" w:eastAsia="Garamond" w:hAnsi="Garamond"/>
          <w:b w:val="1"/>
          <w:bCs w:val="1"/>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1"/>
          <w:bCs w:val="1"/>
          <w:i w:val="0"/>
          <w:iCs w:val="0"/>
          <w:smallCaps w:val="0"/>
          <w:strike w:val="0"/>
          <w:color w:val="000000"/>
          <w:sz w:val="24"/>
          <w:szCs w:val="24"/>
          <w:u w:val="none"/>
          <w:shd w:fill="auto" w:val="clear"/>
          <w:vertAlign w:val="baseline"/>
          <w:rtl w:val="0"/>
        </w:rPr>
        <w:t xml:space="preserve">Producto Interno Bruto (PIB)</w:t>
      </w:r>
    </w:p>
    <w:p w:rsidR="00000000" w:rsidDel="00000000" w:rsidP="00000000" w:rsidRDefault="00000000" w:rsidRPr="00000000" w14:paraId="000000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0" w:right="0" w:firstLine="0"/>
        <w:jc w:val="left"/>
        <w:rPr>
          <w:rFonts w:ascii="Garamond" w:cs="Garamond" w:eastAsia="Garamond" w:hAnsi="Garamond"/>
          <w:b w:val="1"/>
          <w:bCs w:val="1"/>
          <w:i w:val="0"/>
          <w:iCs w:val="0"/>
          <w:smallCaps w:val="0"/>
          <w:strike w:val="0"/>
          <w:color w:val="000000"/>
          <w:sz w:val="23"/>
          <w:szCs w:val="23"/>
          <w:u w:val="none"/>
          <w:shd w:fill="auto" w:val="clear"/>
          <w:vertAlign w:val="baseline"/>
        </w:rPr>
      </w:pPr>
      <w:r w:rsidDel="00000000" w:rsidR="00000000" w:rsidRPr="00000000">
        <w:rPr>
          <w:rtl w:val="0"/>
        </w:rPr>
      </w:r>
    </w:p>
    <w:p w:rsidR="00000000" w:rsidDel="00000000" w:rsidP="00000000" w:rsidRDefault="00000000" w:rsidRPr="00000000" w14:paraId="00000081">
      <w:pPr>
        <w:jc w:val="both"/>
        <w:rPr>
          <w:rFonts w:ascii="Garamond" w:cs="Garamond" w:eastAsia="Garamond" w:hAnsi="Garamond"/>
          <w:color w:val="000000"/>
          <w:sz w:val="24"/>
          <w:szCs w:val="24"/>
          <w:vertAlign w:val="superscript"/>
        </w:rPr>
      </w:pPr>
      <w:r w:rsidDel="00000000" w:rsidR="00000000" w:rsidRPr="00000000">
        <w:rPr>
          <w:rFonts w:ascii="Garamond" w:cs="Garamond" w:eastAsia="Garamond" w:hAnsi="Garamond"/>
          <w:color w:val="000000"/>
          <w:sz w:val="24"/>
          <w:szCs w:val="24"/>
          <w:rtl w:val="0"/>
        </w:rPr>
        <w:t xml:space="preserve">En el </w:t>
      </w:r>
      <w:r w:rsidDel="00000000" w:rsidR="00000000" w:rsidRPr="00000000">
        <w:rPr>
          <w:rFonts w:ascii="Garamond" w:cs="Garamond" w:eastAsia="Garamond" w:hAnsi="Garamond"/>
          <w:sz w:val="24"/>
          <w:szCs w:val="24"/>
          <w:rtl w:val="0"/>
        </w:rPr>
        <w:t xml:space="preserve">Cuarto </w:t>
      </w:r>
      <w:r w:rsidDel="00000000" w:rsidR="00000000" w:rsidRPr="00000000">
        <w:rPr>
          <w:rFonts w:ascii="Garamond" w:cs="Garamond" w:eastAsia="Garamond" w:hAnsi="Garamond"/>
          <w:color w:val="000000"/>
          <w:sz w:val="24"/>
          <w:szCs w:val="24"/>
          <w:rtl w:val="0"/>
        </w:rPr>
        <w:t xml:space="preserve">trimestre de 2025</w:t>
      </w:r>
      <w:r w:rsidDel="00000000" w:rsidR="00000000" w:rsidRPr="00000000">
        <w:rPr>
          <w:rFonts w:ascii="Garamond" w:cs="Garamond" w:eastAsia="Garamond" w:hAnsi="Garamond"/>
          <w:color w:val="000000"/>
          <w:sz w:val="24"/>
          <w:szCs w:val="24"/>
          <w:vertAlign w:val="superscript"/>
          <w:rtl w:val="0"/>
        </w:rPr>
        <w:t xml:space="preserve">pr</w:t>
      </w:r>
      <w:r w:rsidDel="00000000" w:rsidR="00000000" w:rsidRPr="00000000">
        <w:rPr>
          <w:rFonts w:ascii="Garamond" w:cs="Garamond" w:eastAsia="Garamond" w:hAnsi="Garamond"/>
          <w:color w:val="000000"/>
          <w:sz w:val="24"/>
          <w:szCs w:val="24"/>
          <w:rtl w:val="0"/>
        </w:rPr>
        <w:t xml:space="preserve">, el Producto Interno Bruto en su serie original, crece 2,</w:t>
      </w:r>
      <w:r w:rsidDel="00000000" w:rsidR="00000000" w:rsidRPr="00000000">
        <w:rPr>
          <w:rFonts w:ascii="Garamond" w:cs="Garamond" w:eastAsia="Garamond" w:hAnsi="Garamond"/>
          <w:sz w:val="24"/>
          <w:szCs w:val="24"/>
          <w:rtl w:val="0"/>
        </w:rPr>
        <w:t xml:space="preserve">3</w:t>
      </w:r>
      <w:r w:rsidDel="00000000" w:rsidR="00000000" w:rsidRPr="00000000">
        <w:rPr>
          <w:rFonts w:ascii="Garamond" w:cs="Garamond" w:eastAsia="Garamond" w:hAnsi="Garamond"/>
          <w:color w:val="000000"/>
          <w:sz w:val="24"/>
          <w:szCs w:val="24"/>
          <w:rtl w:val="0"/>
        </w:rPr>
        <w:t xml:space="preserve">% respecto al mismo periodo de 2024</w:t>
      </w:r>
      <w:r w:rsidDel="00000000" w:rsidR="00000000" w:rsidRPr="00000000">
        <w:rPr>
          <w:rFonts w:ascii="Garamond" w:cs="Garamond" w:eastAsia="Garamond" w:hAnsi="Garamond"/>
          <w:color w:val="000000"/>
          <w:sz w:val="24"/>
          <w:szCs w:val="24"/>
          <w:vertAlign w:val="superscript"/>
          <w:rtl w:val="0"/>
        </w:rPr>
        <w:t xml:space="preserve">pr </w:t>
      </w:r>
    </w:p>
    <w:p w:rsidR="00000000" w:rsidDel="00000000" w:rsidP="00000000" w:rsidRDefault="00000000" w:rsidRPr="00000000" w14:paraId="00000082">
      <w:pPr>
        <w:jc w:val="both"/>
        <w:rPr>
          <w:rFonts w:ascii="Garamond" w:cs="Garamond" w:eastAsia="Garamond" w:hAnsi="Garamond"/>
        </w:rPr>
      </w:pPr>
      <w:r w:rsidDel="00000000" w:rsidR="00000000" w:rsidRPr="00000000">
        <w:rPr>
          <w:rtl w:val="0"/>
        </w:rPr>
      </w:r>
    </w:p>
    <w:p w:rsidR="00000000" w:rsidDel="00000000" w:rsidP="00000000" w:rsidRDefault="00000000" w:rsidRPr="00000000" w14:paraId="00000083">
      <w:pPr>
        <w:jc w:val="center"/>
        <w:rPr>
          <w:rFonts w:ascii="Garamond" w:cs="Garamond" w:eastAsia="Garamond" w:hAnsi="Garamond"/>
        </w:rPr>
      </w:pPr>
      <w:r w:rsidDel="00000000" w:rsidR="00000000" w:rsidRPr="00000000">
        <w:rPr>
          <w:rFonts w:ascii="Garamond" w:cs="Garamond" w:eastAsia="Garamond" w:hAnsi="Garamond"/>
        </w:rPr>
        <w:drawing>
          <wp:inline distB="114300" distT="114300" distL="114300" distR="114300">
            <wp:extent cx="6134100" cy="3467100"/>
            <wp:effectExtent b="0" l="0" r="0" t="0"/>
            <wp:docPr id="20" name="image7.png"/>
            <a:graphic>
              <a:graphicData uri="http://schemas.openxmlformats.org/drawingml/2006/picture">
                <pic:pic>
                  <pic:nvPicPr>
                    <pic:cNvPr id="0" name="image7.png"/>
                    <pic:cNvPicPr preferRelativeResize="0"/>
                  </pic:nvPicPr>
                  <pic:blipFill>
                    <a:blip r:embed="rId17"/>
                    <a:srcRect b="0" l="0" r="0" t="0"/>
                    <a:stretch>
                      <a:fillRect/>
                    </a:stretch>
                  </pic:blipFill>
                  <pic:spPr>
                    <a:xfrm>
                      <a:off x="0" y="0"/>
                      <a:ext cx="6134100" cy="3467100"/>
                    </a:xfrm>
                    <a:prstGeom prst="rect"/>
                    <a:ln/>
                  </pic:spPr>
                </pic:pic>
              </a:graphicData>
            </a:graphic>
          </wp:inline>
        </w:drawing>
      </w:r>
      <w:r w:rsidDel="00000000" w:rsidR="00000000" w:rsidRPr="00000000">
        <w:rPr>
          <w:rtl w:val="0"/>
        </w:rPr>
      </w:r>
    </w:p>
    <w:p w:rsidR="00000000" w:rsidDel="00000000" w:rsidP="00000000" w:rsidRDefault="00000000" w:rsidRPr="00000000" w14:paraId="00000084">
      <w:pPr>
        <w:jc w:val="center"/>
        <w:rPr>
          <w:rFonts w:ascii="Garamond" w:cs="Garamond" w:eastAsia="Garamond" w:hAnsi="Garamond"/>
          <w:sz w:val="16"/>
          <w:szCs w:val="16"/>
        </w:rPr>
      </w:pPr>
      <w:r w:rsidDel="00000000" w:rsidR="00000000" w:rsidRPr="00000000">
        <w:rPr>
          <w:rtl w:val="0"/>
        </w:rPr>
      </w:r>
    </w:p>
    <w:p w:rsidR="00000000" w:rsidDel="00000000" w:rsidP="00000000" w:rsidRDefault="00000000" w:rsidRPr="00000000" w14:paraId="00000085">
      <w:pPr>
        <w:jc w:val="center"/>
        <w:rPr>
          <w:rFonts w:ascii="Garamond" w:cs="Garamond" w:eastAsia="Garamond" w:hAnsi="Garamond"/>
          <w:sz w:val="16"/>
          <w:szCs w:val="16"/>
        </w:rPr>
      </w:pPr>
      <w:r w:rsidDel="00000000" w:rsidR="00000000" w:rsidRPr="00000000">
        <w:rPr>
          <w:rFonts w:ascii="Garamond" w:cs="Garamond" w:eastAsia="Garamond" w:hAnsi="Garamond"/>
          <w:sz w:val="16"/>
          <w:szCs w:val="16"/>
          <w:rtl w:val="0"/>
        </w:rPr>
        <w:t xml:space="preserve">Fuente: DANE – Boletín Técnico Producto Interno Bruto Trimestral (PIB_T) IV trimestre de 2025</w:t>
      </w:r>
      <w:r w:rsidDel="00000000" w:rsidR="00000000" w:rsidRPr="00000000">
        <w:rPr>
          <w:rFonts w:ascii="Garamond" w:cs="Garamond" w:eastAsia="Garamond" w:hAnsi="Garamond"/>
          <w:sz w:val="16"/>
          <w:szCs w:val="16"/>
          <w:vertAlign w:val="superscript"/>
          <w:rtl w:val="0"/>
        </w:rPr>
        <w:t xml:space="preserve">pr</w:t>
      </w:r>
      <w:r w:rsidDel="00000000" w:rsidR="00000000" w:rsidRPr="00000000">
        <w:rPr>
          <w:rFonts w:ascii="Garamond" w:cs="Garamond" w:eastAsia="Garamond" w:hAnsi="Garamond"/>
          <w:sz w:val="16"/>
          <w:szCs w:val="16"/>
          <w:vertAlign w:val="superscript"/>
        </w:rPr>
        <w:footnoteReference w:customMarkFollows="0" w:id="3"/>
      </w:r>
      <w:r w:rsidDel="00000000" w:rsidR="00000000" w:rsidRPr="00000000">
        <w:rPr>
          <w:rFonts w:ascii="Garamond" w:cs="Garamond" w:eastAsia="Garamond" w:hAnsi="Garamond"/>
          <w:sz w:val="16"/>
          <w:szCs w:val="16"/>
          <w:rtl w:val="0"/>
        </w:rPr>
        <w:t xml:space="preserve">.</w:t>
      </w:r>
    </w:p>
    <w:p w:rsidR="00000000" w:rsidDel="00000000" w:rsidP="00000000" w:rsidRDefault="00000000" w:rsidRPr="00000000" w14:paraId="00000086">
      <w:pPr>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087">
      <w:pPr>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088">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En el cuarto trimestre de 2025pr, el Producto Interno Bruto en su serie original, crece 2,3% respecto al mismo periodo de 2024p (ver tabla 1). Las actividades económicas que más contribuyen a la dinámica del valor agregado son: </w:t>
      </w:r>
    </w:p>
    <w:p w:rsidR="00000000" w:rsidDel="00000000" w:rsidP="00000000" w:rsidRDefault="00000000" w:rsidRPr="00000000" w14:paraId="00000089">
      <w:pPr>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08A">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 Administración pública y defensa; planes de seguridad social de afiliación obligatoria; Educación; Actividades de atención de la salud humana y de servicios sociales crece 4,8% (contribuye 0,9 puntos porcentuales a la variación anual). </w:t>
      </w:r>
    </w:p>
    <w:p w:rsidR="00000000" w:rsidDel="00000000" w:rsidP="00000000" w:rsidRDefault="00000000" w:rsidRPr="00000000" w14:paraId="0000008B">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 Comercio al por mayor y al por menor; reparación de vehículos automotores y motocicletas; Transporte y almacenamiento; Alojamiento y servicios de comida crece 3,4% (contribuye 0,7 puntos porcentuales a la variación anual). </w:t>
      </w:r>
    </w:p>
    <w:p w:rsidR="00000000" w:rsidDel="00000000" w:rsidP="00000000" w:rsidRDefault="00000000" w:rsidRPr="00000000" w14:paraId="0000008C">
      <w:pPr>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08D">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 Actividades artísticas, de entretenimiento y recreación y otras actividades de servicios; Actividades de los hogares individuales en calidad de empleadores; actividades no diferenciadas de los hogares individuales como productores de bienes y servicios para uso propio crece 11,5% (contribuye 0,5 puntos porcentuales a la variación anual). </w:t>
      </w:r>
    </w:p>
    <w:p w:rsidR="00000000" w:rsidDel="00000000" w:rsidP="00000000" w:rsidRDefault="00000000" w:rsidRPr="00000000" w14:paraId="0000008E">
      <w:pPr>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08F">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Respecto al trimestre inmediatamente anterior, el Producto Interno Bruto en su serie ajustada por efecto estacional y calendario crece 0,1%. Cuando se observa el comportamiento de las actividades económicas relacionadas: </w:t>
      </w:r>
    </w:p>
    <w:p w:rsidR="00000000" w:rsidDel="00000000" w:rsidP="00000000" w:rsidRDefault="00000000" w:rsidRPr="00000000" w14:paraId="00000090">
      <w:pPr>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091">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 Actividades artísticas, de entretenimiento y recreación y otras actividades de servicios; Actividades de los hogares individuales en calidad de empleadores; actividades no diferenciadas de los hogares individuales como productores de bienes y servicios para uso propio crece 4,6%. </w:t>
      </w:r>
    </w:p>
    <w:p w:rsidR="00000000" w:rsidDel="00000000" w:rsidP="00000000" w:rsidRDefault="00000000" w:rsidRPr="00000000" w14:paraId="00000092">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 Comercio al por mayor y al por menor; reparación de vehículos automotores y motocicletas; Transporte y almacenamiento; Alojamiento y servicios de comida crece 1,6%. • Explotación de minas y canteras crece 1,2%. </w:t>
      </w:r>
    </w:p>
    <w:p w:rsidR="00000000" w:rsidDel="00000000" w:rsidP="00000000" w:rsidRDefault="00000000" w:rsidRPr="00000000" w14:paraId="00000093">
      <w:pPr>
        <w:rPr>
          <w:rFonts w:ascii="Garamond" w:cs="Garamond" w:eastAsia="Garamond" w:hAnsi="Garamond"/>
          <w:b w:val="1"/>
          <w:bCs w:val="1"/>
          <w:sz w:val="24"/>
          <w:szCs w:val="24"/>
        </w:rPr>
      </w:pPr>
      <w:r w:rsidDel="00000000" w:rsidR="00000000" w:rsidRPr="00000000">
        <w:rPr>
          <w:rtl w:val="0"/>
        </w:rPr>
      </w:r>
    </w:p>
    <w:p w:rsidR="00000000" w:rsidDel="00000000" w:rsidP="00000000" w:rsidRDefault="00000000" w:rsidRPr="00000000" w14:paraId="00000094">
      <w:pPr>
        <w:jc w:val="both"/>
        <w:rPr>
          <w:rFonts w:ascii="Garamond" w:cs="Garamond" w:eastAsia="Garamond" w:hAnsi="Garamond"/>
          <w:sz w:val="24"/>
          <w:szCs w:val="24"/>
        </w:rPr>
      </w:pPr>
      <w:r w:rsidDel="00000000" w:rsidR="00000000" w:rsidRPr="00000000">
        <w:rPr>
          <w:rFonts w:ascii="Garamond" w:cs="Garamond" w:eastAsia="Garamond" w:hAnsi="Garamond"/>
          <w:b w:val="1"/>
          <w:bCs w:val="1"/>
          <w:sz w:val="24"/>
          <w:szCs w:val="24"/>
          <w:rtl w:val="0"/>
        </w:rPr>
        <w:t xml:space="preserve">3.2.2. Información y comunicaciones</w:t>
      </w:r>
      <w:r w:rsidDel="00000000" w:rsidR="00000000" w:rsidRPr="00000000">
        <w:rPr>
          <w:rFonts w:ascii="Garamond" w:cs="Garamond" w:eastAsia="Garamond" w:hAnsi="Garamond"/>
          <w:sz w:val="24"/>
          <w:szCs w:val="24"/>
          <w:rtl w:val="0"/>
        </w:rPr>
        <w:t xml:space="preserve"> </w:t>
      </w:r>
    </w:p>
    <w:p w:rsidR="00000000" w:rsidDel="00000000" w:rsidP="00000000" w:rsidRDefault="00000000" w:rsidRPr="00000000" w14:paraId="00000095">
      <w:pPr>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096">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Para el año 2025pr, el valor agregado de información y comunicaciones crece 1,0%, respecto al año 2024p. En el cuarto trimestre de 2025pr, el valor agregado de información y comunicaciones decrece 1,2% en su serie original, respecto al mismo periodo de 2024p. Para la serie ajustada por efecto estacional y calendario, el valor agregado decrece en 2,0%, respecto al trimestre inmediatamente anterior (ver tabla 8). </w:t>
      </w:r>
    </w:p>
    <w:p w:rsidR="00000000" w:rsidDel="00000000" w:rsidP="00000000" w:rsidRDefault="00000000" w:rsidRPr="00000000" w14:paraId="00000097">
      <w:pPr>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098">
      <w:pPr>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099">
      <w:pPr>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Tabla 8. Información y comunicaciones </w:t>
      </w:r>
    </w:p>
    <w:p w:rsidR="00000000" w:rsidDel="00000000" w:rsidP="00000000" w:rsidRDefault="00000000" w:rsidRPr="00000000" w14:paraId="0000009A">
      <w:pPr>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Tasas de crecimiento en volumen</w:t>
      </w:r>
    </w:p>
    <w:p w:rsidR="00000000" w:rsidDel="00000000" w:rsidP="00000000" w:rsidRDefault="00000000" w:rsidRPr="00000000" w14:paraId="0000009B">
      <w:pPr>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Cuarto trimestre 2025pr</w:t>
      </w:r>
    </w:p>
    <w:p w:rsidR="00000000" w:rsidDel="00000000" w:rsidP="00000000" w:rsidRDefault="00000000" w:rsidRPr="00000000" w14:paraId="0000009C">
      <w:pPr>
        <w:rPr>
          <w:rFonts w:ascii="Garamond" w:cs="Garamond" w:eastAsia="Garamond" w:hAnsi="Garamond"/>
          <w:b w:val="1"/>
          <w:bCs w:val="1"/>
          <w:sz w:val="24"/>
          <w:szCs w:val="24"/>
        </w:rPr>
      </w:pPr>
      <w:r w:rsidDel="00000000" w:rsidR="00000000" w:rsidRPr="00000000">
        <w:rPr>
          <w:rtl w:val="0"/>
        </w:rPr>
      </w:r>
    </w:p>
    <w:p w:rsidR="00000000" w:rsidDel="00000000" w:rsidP="00000000" w:rsidRDefault="00000000" w:rsidRPr="00000000" w14:paraId="0000009D">
      <w:pPr>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Pr>
        <w:drawing>
          <wp:inline distB="114300" distT="114300" distL="114300" distR="114300">
            <wp:extent cx="6134100" cy="2057400"/>
            <wp:effectExtent b="0" l="0" r="0" t="0"/>
            <wp:docPr id="34" name="image26.png"/>
            <a:graphic>
              <a:graphicData uri="http://schemas.openxmlformats.org/drawingml/2006/picture">
                <pic:pic>
                  <pic:nvPicPr>
                    <pic:cNvPr id="0" name="image26.png"/>
                    <pic:cNvPicPr preferRelativeResize="0"/>
                  </pic:nvPicPr>
                  <pic:blipFill>
                    <a:blip r:embed="rId18"/>
                    <a:srcRect b="0" l="0" r="0" t="0"/>
                    <a:stretch>
                      <a:fillRect/>
                    </a:stretch>
                  </pic:blipFill>
                  <pic:spPr>
                    <a:xfrm>
                      <a:off x="0" y="0"/>
                      <a:ext cx="6134100" cy="2057400"/>
                    </a:xfrm>
                    <a:prstGeom prst="rect"/>
                    <a:ln/>
                  </pic:spPr>
                </pic:pic>
              </a:graphicData>
            </a:graphic>
          </wp:inline>
        </w:drawing>
      </w:r>
      <w:r w:rsidDel="00000000" w:rsidR="00000000" w:rsidRPr="00000000">
        <w:rPr>
          <w:rFonts w:ascii="Garamond" w:cs="Garamond" w:eastAsia="Garamond" w:hAnsi="Garamond"/>
          <w:b w:val="1"/>
          <w:bCs w:val="1"/>
          <w:sz w:val="24"/>
          <w:szCs w:val="24"/>
          <w:rtl w:val="0"/>
        </w:rPr>
        <w:t xml:space="preserve"> </w:t>
      </w:r>
    </w:p>
    <w:p w:rsidR="00000000" w:rsidDel="00000000" w:rsidP="00000000" w:rsidRDefault="00000000" w:rsidRPr="00000000" w14:paraId="0000009E">
      <w:pPr>
        <w:jc w:val="center"/>
        <w:rPr>
          <w:rFonts w:ascii="Garamond" w:cs="Garamond" w:eastAsia="Garamond" w:hAnsi="Garamond"/>
          <w:b w:val="1"/>
          <w:bCs w:val="1"/>
          <w:sz w:val="21"/>
          <w:szCs w:val="21"/>
        </w:rPr>
      </w:pPr>
      <w:r w:rsidDel="00000000" w:rsidR="00000000" w:rsidRPr="00000000">
        <w:rPr>
          <w:rtl w:val="0"/>
        </w:rPr>
      </w:r>
    </w:p>
    <w:p w:rsidR="00000000" w:rsidDel="00000000" w:rsidP="00000000" w:rsidRDefault="00000000" w:rsidRPr="00000000" w14:paraId="0000009F">
      <w:pPr>
        <w:jc w:val="center"/>
        <w:rPr>
          <w:rFonts w:ascii="Garamond" w:cs="Garamond" w:eastAsia="Garamond" w:hAnsi="Garamond"/>
          <w:sz w:val="16"/>
          <w:szCs w:val="16"/>
        </w:rPr>
      </w:pPr>
      <w:r w:rsidDel="00000000" w:rsidR="00000000" w:rsidRPr="00000000">
        <w:rPr>
          <w:rtl w:val="0"/>
        </w:rPr>
      </w:r>
    </w:p>
    <w:p w:rsidR="00000000" w:rsidDel="00000000" w:rsidP="00000000" w:rsidRDefault="00000000" w:rsidRPr="00000000" w14:paraId="000000A0">
      <w:pPr>
        <w:jc w:val="center"/>
        <w:rPr>
          <w:rFonts w:ascii="Garamond" w:cs="Garamond" w:eastAsia="Garamond" w:hAnsi="Garamond"/>
          <w:sz w:val="16"/>
          <w:szCs w:val="16"/>
        </w:rPr>
      </w:pPr>
      <w:r w:rsidDel="00000000" w:rsidR="00000000" w:rsidRPr="00000000">
        <w:rPr>
          <w:rFonts w:ascii="Garamond" w:cs="Garamond" w:eastAsia="Garamond" w:hAnsi="Garamond"/>
          <w:sz w:val="16"/>
          <w:szCs w:val="16"/>
          <w:rtl w:val="0"/>
        </w:rPr>
        <w:t xml:space="preserve">Fuente: DANE – Boletín Técnico Producto Interno Bruto Trimestral (PIB_T) 4 trimestre de 2025</w:t>
      </w:r>
      <w:r w:rsidDel="00000000" w:rsidR="00000000" w:rsidRPr="00000000">
        <w:rPr>
          <w:rFonts w:ascii="Garamond" w:cs="Garamond" w:eastAsia="Garamond" w:hAnsi="Garamond"/>
          <w:sz w:val="16"/>
          <w:szCs w:val="16"/>
          <w:vertAlign w:val="superscript"/>
          <w:rtl w:val="0"/>
        </w:rPr>
        <w:t xml:space="preserve">pr</w:t>
      </w:r>
      <w:r w:rsidDel="00000000" w:rsidR="00000000" w:rsidRPr="00000000">
        <w:rPr>
          <w:rFonts w:ascii="Garamond" w:cs="Garamond" w:eastAsia="Garamond" w:hAnsi="Garamond"/>
          <w:sz w:val="16"/>
          <w:szCs w:val="16"/>
          <w:vertAlign w:val="superscript"/>
        </w:rPr>
        <w:footnoteReference w:customMarkFollows="0" w:id="4"/>
      </w:r>
      <w:r w:rsidDel="00000000" w:rsidR="00000000" w:rsidRPr="00000000">
        <w:rPr>
          <w:rFonts w:ascii="Garamond" w:cs="Garamond" w:eastAsia="Garamond" w:hAnsi="Garamond"/>
          <w:sz w:val="16"/>
          <w:szCs w:val="16"/>
          <w:rtl w:val="0"/>
        </w:rPr>
        <w:t xml:space="preserve">.</w:t>
      </w:r>
    </w:p>
    <w:p w:rsidR="00000000" w:rsidDel="00000000" w:rsidP="00000000" w:rsidRDefault="00000000" w:rsidRPr="00000000" w14:paraId="000000A1">
      <w:pPr>
        <w:jc w:val="both"/>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 </w:t>
      </w:r>
    </w:p>
    <w:p w:rsidR="00000000" w:rsidDel="00000000" w:rsidP="00000000" w:rsidRDefault="00000000" w:rsidRPr="00000000" w14:paraId="000000A2">
      <w:pPr>
        <w:jc w:val="both"/>
        <w:rPr>
          <w:rFonts w:ascii="Garamond" w:cs="Garamond" w:eastAsia="Garamond" w:hAnsi="Garamond"/>
          <w:sz w:val="21"/>
          <w:szCs w:val="21"/>
        </w:rPr>
      </w:pPr>
      <w:r w:rsidDel="00000000" w:rsidR="00000000" w:rsidRPr="00000000">
        <w:rPr>
          <w:rtl w:val="0"/>
        </w:rPr>
      </w:r>
    </w:p>
    <w:sdt>
      <w:sdtPr>
        <w:id w:val="512490357"/>
        <w:tag w:val="goog_rdk_1"/>
      </w:sdtPr>
      <w:sdtContent>
        <w:p w:rsidR="00000000" w:rsidDel="00000000" w:rsidP="00000000" w:rsidRDefault="00000000" w:rsidRPr="00000000" w14:paraId="000000A3">
          <w:pPr>
            <w:pStyle w:val="Heading3"/>
            <w:spacing w:before="0" w:lineRule="auto"/>
            <w:ind w:left="0" w:firstLine="0"/>
            <w:rPr>
              <w:rFonts w:ascii="Garamond" w:cs="Garamond" w:eastAsia="Garamond" w:hAnsi="Garamond"/>
              <w:sz w:val="21"/>
              <w:szCs w:val="21"/>
              <w:rPrChange w:author="" w:id="0">
                <w:rPr>
                  <w:rFonts w:ascii="Garamond" w:cs="Garamond" w:eastAsia="Garamond" w:hAnsi="Garamond"/>
                  <w:sz w:val="21"/>
                  <w:szCs w:val="21"/>
                </w:rPr>
              </w:rPrChange>
            </w:rPr>
          </w:pPr>
          <w:r w:rsidDel="00000000" w:rsidR="00000000" w:rsidRPr="00000000">
            <w:rPr>
              <w:rFonts w:ascii="Garamond" w:cs="Garamond" w:eastAsia="Garamond" w:hAnsi="Garamond"/>
              <w:b w:val="1"/>
              <w:bCs w:val="1"/>
              <w:color w:val="000000"/>
              <w:sz w:val="21"/>
              <w:szCs w:val="21"/>
              <w:rtl w:val="0"/>
            </w:rPr>
            <w:t xml:space="preserve">3.2.3 Actividades profesionales, científicas y técnicas </w:t>
          </w:r>
          <w:r w:rsidDel="00000000" w:rsidR="00000000" w:rsidRPr="00000000">
            <w:rPr>
              <w:rFonts w:ascii="Garamond" w:cs="Garamond" w:eastAsia="Garamond" w:hAnsi="Garamond"/>
              <w:b w:val="1"/>
              <w:bCs w:val="1"/>
              <w:color w:val="000000"/>
              <w:vertAlign w:val="superscript"/>
              <w:rtl w:val="0"/>
            </w:rPr>
            <w:t xml:space="preserve">10 </w:t>
          </w:r>
          <w:sdt>
            <w:sdtPr>
              <w:id w:val="-417748597"/>
              <w:tag w:val="goog_rdk_0"/>
            </w:sdtPr>
            <w:sdtContent>
              <w:r w:rsidDel="00000000" w:rsidR="00000000" w:rsidRPr="00000000">
                <w:rPr>
                  <w:rtl w:val="0"/>
                </w:rPr>
              </w:r>
            </w:sdtContent>
          </w:sdt>
        </w:p>
      </w:sdtContent>
    </w:sdt>
    <w:sdt>
      <w:sdtPr>
        <w:id w:val="1879555176"/>
        <w:tag w:val="goog_rdk_3"/>
      </w:sdtPr>
      <w:sdtContent>
        <w:p w:rsidR="00000000" w:rsidDel="00000000" w:rsidP="00000000" w:rsidRDefault="00000000" w:rsidRPr="00000000" w14:paraId="000000A4">
          <w:pPr>
            <w:jc w:val="both"/>
            <w:rPr>
              <w:rFonts w:ascii="Garamond" w:cs="Garamond" w:eastAsia="Garamond" w:hAnsi="Garamond"/>
              <w:sz w:val="21"/>
              <w:szCs w:val="21"/>
              <w:rPrChange w:author="" w:id="0">
                <w:rPr>
                  <w:rFonts w:ascii="Garamond" w:cs="Garamond" w:eastAsia="Garamond" w:hAnsi="Garamond"/>
                  <w:sz w:val="21"/>
                  <w:szCs w:val="21"/>
                </w:rPr>
              </w:rPrChange>
            </w:rPr>
          </w:pPr>
          <w:sdt>
            <w:sdtPr>
              <w:id w:val="-938047948"/>
              <w:tag w:val="goog_rdk_2"/>
            </w:sdtPr>
            <w:sdtContent>
              <w:r w:rsidDel="00000000" w:rsidR="00000000" w:rsidRPr="00000000">
                <w:rPr>
                  <w:rtl w:val="0"/>
                </w:rPr>
              </w:r>
            </w:sdtContent>
          </w:sdt>
        </w:p>
      </w:sdtContent>
    </w:sdt>
    <w:sdt>
      <w:sdtPr>
        <w:id w:val="-521517404"/>
        <w:tag w:val="goog_rdk_6"/>
      </w:sdtPr>
      <w:sdtContent>
        <w:p w:rsidR="00000000" w:rsidDel="00000000" w:rsidP="00000000" w:rsidRDefault="00000000" w:rsidRPr="00000000" w14:paraId="000000A5">
          <w:pPr>
            <w:jc w:val="both"/>
            <w:rPr>
              <w:rFonts w:ascii="Garamond" w:cs="Garamond" w:eastAsia="Garamond" w:hAnsi="Garamond"/>
              <w:sz w:val="21"/>
              <w:szCs w:val="21"/>
              <w:rPrChange w:author="" w:id="0">
                <w:rPr>
                  <w:rFonts w:ascii="Garamond" w:cs="Garamond" w:eastAsia="Garamond" w:hAnsi="Garamond"/>
                  <w:sz w:val="21"/>
                  <w:szCs w:val="21"/>
                </w:rPr>
              </w:rPrChange>
            </w:rPr>
          </w:pPr>
          <w:sdt>
            <w:sdtPr>
              <w:id w:val="-1793551387"/>
              <w:tag w:val="goog_rdk_4"/>
            </w:sdtPr>
            <w:sdtContent>
              <w:r w:rsidDel="00000000" w:rsidR="00000000" w:rsidRPr="00000000">
                <w:rPr>
                  <w:rFonts w:ascii="Garamond" w:cs="Garamond" w:eastAsia="Garamond" w:hAnsi="Garamond"/>
                  <w:sz w:val="21"/>
                  <w:szCs w:val="21"/>
                  <w:rtl w:val="0"/>
                  <w:rPrChange w:author="" w:id="0">
                    <w:rPr>
                      <w:rFonts w:ascii="Garamond" w:cs="Garamond" w:eastAsia="Garamond" w:hAnsi="Garamond"/>
                      <w:sz w:val="21"/>
                      <w:szCs w:val="21"/>
                    </w:rPr>
                  </w:rPrChange>
                </w:rPr>
                <w:t xml:space="preserve">Para el año 2025pr, el valor agregado de las actividades profesionales, científicas y técnicas; y actividades de servicios administrativos y de apoyo crece 1,3%, respecto al año 2024p. Esta dinámica se explica por los siguientes comportamientos (ver tabla 11):</w:t>
              </w:r>
            </w:sdtContent>
          </w:sdt>
          <w:sdt>
            <w:sdtPr>
              <w:id w:val="-1640650459"/>
              <w:tag w:val="goog_rdk_5"/>
            </w:sdtPr>
            <w:sdtContent>
              <w:r w:rsidDel="00000000" w:rsidR="00000000" w:rsidRPr="00000000">
                <w:rPr>
                  <w:rFonts w:ascii="Garamond" w:cs="Garamond" w:eastAsia="Garamond" w:hAnsi="Garamond"/>
                  <w:sz w:val="21"/>
                  <w:szCs w:val="21"/>
                  <w:rtl w:val="0"/>
                  <w:rPrChange w:author="" w:id="0">
                    <w:rPr>
                      <w:rFonts w:ascii="Garamond" w:cs="Garamond" w:eastAsia="Garamond" w:hAnsi="Garamond"/>
                      <w:sz w:val="21"/>
                      <w:szCs w:val="21"/>
                    </w:rPr>
                  </w:rPrChange>
                </w:rPr>
                <w:t xml:space="preserve"> </w:t>
              </w:r>
            </w:sdtContent>
          </w:sdt>
        </w:p>
      </w:sdtContent>
    </w:sdt>
    <w:p w:rsidR="00000000" w:rsidDel="00000000" w:rsidP="00000000" w:rsidRDefault="00000000" w:rsidRPr="00000000" w14:paraId="000000A6">
      <w:pPr>
        <w:jc w:val="both"/>
        <w:rPr>
          <w:rFonts w:ascii="Garamond" w:cs="Garamond" w:eastAsia="Garamond" w:hAnsi="Garamond"/>
          <w:sz w:val="21"/>
          <w:szCs w:val="21"/>
        </w:rPr>
      </w:pPr>
      <w:r w:rsidDel="00000000" w:rsidR="00000000" w:rsidRPr="00000000">
        <w:rPr>
          <w:rtl w:val="0"/>
        </w:rPr>
      </w:r>
    </w:p>
    <w:p w:rsidR="00000000" w:rsidDel="00000000" w:rsidP="00000000" w:rsidRDefault="00000000" w:rsidRPr="00000000" w14:paraId="000000A7">
      <w:pPr>
        <w:jc w:val="both"/>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 Actividades profesionales, científicas y técnicas crece 1,1%. </w:t>
      </w:r>
    </w:p>
    <w:p w:rsidR="00000000" w:rsidDel="00000000" w:rsidP="00000000" w:rsidRDefault="00000000" w:rsidRPr="00000000" w14:paraId="000000A8">
      <w:pPr>
        <w:jc w:val="both"/>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 Actividades de servicios administrativos y de apoyo crece 1,6%. </w:t>
      </w:r>
    </w:p>
    <w:p w:rsidR="00000000" w:rsidDel="00000000" w:rsidP="00000000" w:rsidRDefault="00000000" w:rsidRPr="00000000" w14:paraId="000000A9">
      <w:pPr>
        <w:jc w:val="both"/>
        <w:rPr>
          <w:rFonts w:ascii="Garamond" w:cs="Garamond" w:eastAsia="Garamond" w:hAnsi="Garamond"/>
          <w:sz w:val="21"/>
          <w:szCs w:val="21"/>
        </w:rPr>
      </w:pPr>
      <w:r w:rsidDel="00000000" w:rsidR="00000000" w:rsidRPr="00000000">
        <w:rPr>
          <w:rtl w:val="0"/>
        </w:rPr>
      </w:r>
    </w:p>
    <w:p w:rsidR="00000000" w:rsidDel="00000000" w:rsidP="00000000" w:rsidRDefault="00000000" w:rsidRPr="00000000" w14:paraId="000000AA">
      <w:pPr>
        <w:jc w:val="both"/>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En el cuarto trimestre de 2025pr, el valor agregado de las actividades profesionales, científicas y técnicas; y actividades de servicios administrativos y de apoyo crece 1,5% en su serie original, respecto al mismo periodo de 2024p. </w:t>
      </w:r>
    </w:p>
    <w:p w:rsidR="00000000" w:rsidDel="00000000" w:rsidP="00000000" w:rsidRDefault="00000000" w:rsidRPr="00000000" w14:paraId="000000AB">
      <w:pPr>
        <w:jc w:val="both"/>
        <w:rPr>
          <w:rFonts w:ascii="Garamond" w:cs="Garamond" w:eastAsia="Garamond" w:hAnsi="Garamond"/>
          <w:sz w:val="21"/>
          <w:szCs w:val="21"/>
        </w:rPr>
      </w:pPr>
      <w:r w:rsidDel="00000000" w:rsidR="00000000" w:rsidRPr="00000000">
        <w:rPr>
          <w:rtl w:val="0"/>
        </w:rPr>
      </w:r>
    </w:p>
    <w:p w:rsidR="00000000" w:rsidDel="00000000" w:rsidP="00000000" w:rsidRDefault="00000000" w:rsidRPr="00000000" w14:paraId="000000AC">
      <w:pPr>
        <w:jc w:val="both"/>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Esta dinámica se explica por los siguientes comportamientos (ver tabla 11): </w:t>
      </w:r>
    </w:p>
    <w:p w:rsidR="00000000" w:rsidDel="00000000" w:rsidP="00000000" w:rsidRDefault="00000000" w:rsidRPr="00000000" w14:paraId="000000AD">
      <w:pPr>
        <w:jc w:val="both"/>
        <w:rPr>
          <w:rFonts w:ascii="Garamond" w:cs="Garamond" w:eastAsia="Garamond" w:hAnsi="Garamond"/>
          <w:sz w:val="21"/>
          <w:szCs w:val="21"/>
        </w:rPr>
      </w:pPr>
      <w:r w:rsidDel="00000000" w:rsidR="00000000" w:rsidRPr="00000000">
        <w:rPr>
          <w:rtl w:val="0"/>
        </w:rPr>
      </w:r>
    </w:p>
    <w:p w:rsidR="00000000" w:rsidDel="00000000" w:rsidP="00000000" w:rsidRDefault="00000000" w:rsidRPr="00000000" w14:paraId="000000AE">
      <w:pPr>
        <w:jc w:val="both"/>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 Actividades profesionales, científicas y técnicas crece 1,3%.</w:t>
      </w:r>
    </w:p>
    <w:p w:rsidR="00000000" w:rsidDel="00000000" w:rsidP="00000000" w:rsidRDefault="00000000" w:rsidRPr="00000000" w14:paraId="000000AF">
      <w:pPr>
        <w:jc w:val="both"/>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 • Actividades de servicios administrativos y de apoyo crece 1,6%. </w:t>
      </w:r>
    </w:p>
    <w:p w:rsidR="00000000" w:rsidDel="00000000" w:rsidP="00000000" w:rsidRDefault="00000000" w:rsidRPr="00000000" w14:paraId="000000B0">
      <w:pPr>
        <w:jc w:val="both"/>
        <w:rPr>
          <w:rFonts w:ascii="Garamond" w:cs="Garamond" w:eastAsia="Garamond" w:hAnsi="Garamond"/>
          <w:sz w:val="21"/>
          <w:szCs w:val="21"/>
        </w:rPr>
      </w:pPr>
      <w:r w:rsidDel="00000000" w:rsidR="00000000" w:rsidRPr="00000000">
        <w:rPr>
          <w:rtl w:val="0"/>
        </w:rPr>
      </w:r>
    </w:p>
    <w:p w:rsidR="00000000" w:rsidDel="00000000" w:rsidP="00000000" w:rsidRDefault="00000000" w:rsidRPr="00000000" w14:paraId="000000B1">
      <w:pPr>
        <w:jc w:val="both"/>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Respecto al trimestre inmediatamente anterior en su serie ajustada por efecto estacional y calendario, el valor agregado de las actividades profesionales, científicas y técnicas; y actividades de servicios administrativos y de apoyo crece en 0,4%, cuando se observa el comportamiento de las actividades económicas relacionadas:</w:t>
      </w:r>
    </w:p>
    <w:p w:rsidR="00000000" w:rsidDel="00000000" w:rsidP="00000000" w:rsidRDefault="00000000" w:rsidRPr="00000000" w14:paraId="000000B2">
      <w:pPr>
        <w:jc w:val="both"/>
        <w:rPr>
          <w:rFonts w:ascii="Garamond" w:cs="Garamond" w:eastAsia="Garamond" w:hAnsi="Garamond"/>
          <w:sz w:val="21"/>
          <w:szCs w:val="21"/>
        </w:rPr>
      </w:pPr>
      <w:r w:rsidDel="00000000" w:rsidR="00000000" w:rsidRPr="00000000">
        <w:rPr>
          <w:rtl w:val="0"/>
        </w:rPr>
      </w:r>
    </w:p>
    <w:p w:rsidR="00000000" w:rsidDel="00000000" w:rsidP="00000000" w:rsidRDefault="00000000" w:rsidRPr="00000000" w14:paraId="000000B3">
      <w:pPr>
        <w:jc w:val="both"/>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 • Actividades profesionales, científicas y técnicas crece 0,1%. </w:t>
      </w:r>
    </w:p>
    <w:p w:rsidR="00000000" w:rsidDel="00000000" w:rsidP="00000000" w:rsidRDefault="00000000" w:rsidRPr="00000000" w14:paraId="000000B4">
      <w:pPr>
        <w:jc w:val="both"/>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 Actividades de servicios administrativos y de apoyo crece 0,7%.</w:t>
      </w:r>
    </w:p>
    <w:p w:rsidR="00000000" w:rsidDel="00000000" w:rsidP="00000000" w:rsidRDefault="00000000" w:rsidRPr="00000000" w14:paraId="000000B5">
      <w:pPr>
        <w:jc w:val="both"/>
        <w:rPr>
          <w:rFonts w:ascii="Garamond" w:cs="Garamond" w:eastAsia="Garamond" w:hAnsi="Garamond"/>
          <w:sz w:val="21"/>
          <w:szCs w:val="21"/>
        </w:rPr>
      </w:pPr>
      <w:r w:rsidDel="00000000" w:rsidR="00000000" w:rsidRPr="00000000">
        <w:rPr>
          <w:rtl w:val="0"/>
        </w:rPr>
      </w:r>
    </w:p>
    <w:p w:rsidR="00000000" w:rsidDel="00000000" w:rsidP="00000000" w:rsidRDefault="00000000" w:rsidRPr="00000000" w14:paraId="000000B6">
      <w:pPr>
        <w:jc w:val="both"/>
        <w:rPr>
          <w:rFonts w:ascii="Garamond" w:cs="Garamond" w:eastAsia="Garamond" w:hAnsi="Garamond"/>
          <w:sz w:val="21"/>
          <w:szCs w:val="21"/>
        </w:rPr>
      </w:pPr>
      <w:r w:rsidDel="00000000" w:rsidR="00000000" w:rsidRPr="00000000">
        <w:rPr>
          <w:rtl w:val="0"/>
        </w:rPr>
      </w:r>
    </w:p>
    <w:p w:rsidR="00000000" w:rsidDel="00000000" w:rsidP="00000000" w:rsidRDefault="00000000" w:rsidRPr="00000000" w14:paraId="000000B7">
      <w:pPr>
        <w:jc w:val="both"/>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 Tabla 11. Actividades profesionales, científicas y técnicas</w:t>
      </w:r>
      <w:r w:rsidDel="00000000" w:rsidR="00000000" w:rsidRPr="00000000">
        <w:rPr>
          <w:rFonts w:ascii="Garamond" w:cs="Garamond" w:eastAsia="Garamond" w:hAnsi="Garamond"/>
          <w:b w:val="1"/>
          <w:bCs w:val="1"/>
          <w:sz w:val="24"/>
          <w:szCs w:val="24"/>
          <w:vertAlign w:val="superscript"/>
          <w:rtl w:val="0"/>
        </w:rPr>
        <w:t xml:space="preserve">1é</w:t>
      </w:r>
      <w:r w:rsidDel="00000000" w:rsidR="00000000" w:rsidRPr="00000000">
        <w:rPr>
          <w:rFonts w:ascii="Garamond" w:cs="Garamond" w:eastAsia="Garamond" w:hAnsi="Garamond"/>
          <w:sz w:val="21"/>
          <w:szCs w:val="21"/>
          <w:rtl w:val="0"/>
        </w:rPr>
        <w:t xml:space="preserve"> </w:t>
      </w:r>
    </w:p>
    <w:p w:rsidR="00000000" w:rsidDel="00000000" w:rsidP="00000000" w:rsidRDefault="00000000" w:rsidRPr="00000000" w14:paraId="000000B8">
      <w:pPr>
        <w:jc w:val="both"/>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Tasas de crecimiento en volumen</w:t>
      </w:r>
      <w:r w:rsidDel="00000000" w:rsidR="00000000" w:rsidRPr="00000000">
        <w:rPr>
          <w:rFonts w:ascii="Garamond" w:cs="Garamond" w:eastAsia="Garamond" w:hAnsi="Garamond"/>
          <w:b w:val="1"/>
          <w:bCs w:val="1"/>
          <w:sz w:val="24"/>
          <w:szCs w:val="24"/>
          <w:vertAlign w:val="superscript"/>
          <w:rtl w:val="0"/>
        </w:rPr>
        <w:t xml:space="preserve">2</w:t>
      </w:r>
      <w:r w:rsidDel="00000000" w:rsidR="00000000" w:rsidRPr="00000000">
        <w:rPr>
          <w:rFonts w:ascii="Garamond" w:cs="Garamond" w:eastAsia="Garamond" w:hAnsi="Garamond"/>
          <w:sz w:val="21"/>
          <w:szCs w:val="21"/>
          <w:rtl w:val="0"/>
        </w:rPr>
        <w:t xml:space="preserve"> </w:t>
      </w:r>
    </w:p>
    <w:p w:rsidR="00000000" w:rsidDel="00000000" w:rsidP="00000000" w:rsidRDefault="00000000" w:rsidRPr="00000000" w14:paraId="000000B9">
      <w:pPr>
        <w:jc w:val="both"/>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Cuarto trimestre 2025</w:t>
      </w:r>
      <w:r w:rsidDel="00000000" w:rsidR="00000000" w:rsidRPr="00000000">
        <w:rPr>
          <w:rFonts w:ascii="Garamond" w:cs="Garamond" w:eastAsia="Garamond" w:hAnsi="Garamond"/>
          <w:b w:val="1"/>
          <w:bCs w:val="1"/>
          <w:sz w:val="24"/>
          <w:szCs w:val="24"/>
          <w:vertAlign w:val="superscript"/>
          <w:rtl w:val="0"/>
        </w:rPr>
        <w:t xml:space="preserve">pr</w:t>
      </w:r>
      <w:r w:rsidDel="00000000" w:rsidR="00000000" w:rsidRPr="00000000">
        <w:rPr>
          <w:rtl w:val="0"/>
        </w:rPr>
      </w:r>
    </w:p>
    <w:p w:rsidR="00000000" w:rsidDel="00000000" w:rsidP="00000000" w:rsidRDefault="00000000" w:rsidRPr="00000000" w14:paraId="000000BA">
      <w:pPr>
        <w:jc w:val="both"/>
        <w:rPr>
          <w:rFonts w:ascii="Garamond" w:cs="Garamond" w:eastAsia="Garamond" w:hAnsi="Garamond"/>
          <w:sz w:val="21"/>
          <w:szCs w:val="21"/>
        </w:rPr>
      </w:pPr>
      <w:r w:rsidDel="00000000" w:rsidR="00000000" w:rsidRPr="00000000">
        <w:rPr>
          <w:rtl w:val="0"/>
        </w:rPr>
      </w:r>
    </w:p>
    <w:p w:rsidR="00000000" w:rsidDel="00000000" w:rsidP="00000000" w:rsidRDefault="00000000" w:rsidRPr="00000000" w14:paraId="000000BB">
      <w:pPr>
        <w:jc w:val="both"/>
        <w:rPr>
          <w:rFonts w:ascii="Garamond" w:cs="Garamond" w:eastAsia="Garamond" w:hAnsi="Garamond"/>
          <w:sz w:val="21"/>
          <w:szCs w:val="21"/>
        </w:rPr>
      </w:pPr>
      <w:r w:rsidDel="00000000" w:rsidR="00000000" w:rsidRPr="00000000">
        <w:rPr>
          <w:rFonts w:ascii="Garamond" w:cs="Garamond" w:eastAsia="Garamond" w:hAnsi="Garamond"/>
          <w:sz w:val="21"/>
          <w:szCs w:val="21"/>
        </w:rPr>
        <w:drawing>
          <wp:inline distB="114300" distT="114300" distL="114300" distR="114300">
            <wp:extent cx="5531894" cy="1881188"/>
            <wp:effectExtent b="0" l="0" r="0" t="0"/>
            <wp:docPr id="36" name="image30.png"/>
            <a:graphic>
              <a:graphicData uri="http://schemas.openxmlformats.org/drawingml/2006/picture">
                <pic:pic>
                  <pic:nvPicPr>
                    <pic:cNvPr id="0" name="image30.png"/>
                    <pic:cNvPicPr preferRelativeResize="0"/>
                  </pic:nvPicPr>
                  <pic:blipFill>
                    <a:blip r:embed="rId19"/>
                    <a:srcRect b="0" l="0" r="0" t="0"/>
                    <a:stretch>
                      <a:fillRect/>
                    </a:stretch>
                  </pic:blipFill>
                  <pic:spPr>
                    <a:xfrm>
                      <a:off x="0" y="0"/>
                      <a:ext cx="5531894" cy="1881188"/>
                    </a:xfrm>
                    <a:prstGeom prst="rect"/>
                    <a:ln/>
                  </pic:spPr>
                </pic:pic>
              </a:graphicData>
            </a:graphic>
          </wp:inline>
        </w:drawing>
      </w:r>
      <w:r w:rsidDel="00000000" w:rsidR="00000000" w:rsidRPr="00000000">
        <w:rPr>
          <w:rtl w:val="0"/>
        </w:rPr>
      </w:r>
    </w:p>
    <w:p w:rsidR="00000000" w:rsidDel="00000000" w:rsidP="00000000" w:rsidRDefault="00000000" w:rsidRPr="00000000" w14:paraId="000000BC">
      <w:pPr>
        <w:jc w:val="center"/>
        <w:rPr>
          <w:rFonts w:ascii="Garamond" w:cs="Garamond" w:eastAsia="Garamond" w:hAnsi="Garamond"/>
          <w:sz w:val="16"/>
          <w:szCs w:val="16"/>
        </w:rPr>
      </w:pPr>
      <w:r w:rsidDel="00000000" w:rsidR="00000000" w:rsidRPr="00000000">
        <w:rPr>
          <w:rFonts w:ascii="Garamond" w:cs="Garamond" w:eastAsia="Garamond" w:hAnsi="Garamond"/>
          <w:sz w:val="16"/>
          <w:szCs w:val="16"/>
          <w:rtl w:val="0"/>
        </w:rPr>
        <w:t xml:space="preserve">Fuente: DANE – Boletín Técnico Producto Interno Bruto Trimestral (PIB_T) IV trimestre de 2025</w:t>
      </w:r>
      <w:r w:rsidDel="00000000" w:rsidR="00000000" w:rsidRPr="00000000">
        <w:rPr>
          <w:rFonts w:ascii="Garamond" w:cs="Garamond" w:eastAsia="Garamond" w:hAnsi="Garamond"/>
          <w:sz w:val="16"/>
          <w:szCs w:val="16"/>
          <w:vertAlign w:val="superscript"/>
          <w:rtl w:val="0"/>
        </w:rPr>
        <w:t xml:space="preserve">pr</w:t>
      </w:r>
      <w:r w:rsidDel="00000000" w:rsidR="00000000" w:rsidRPr="00000000">
        <w:rPr>
          <w:rFonts w:ascii="Garamond" w:cs="Garamond" w:eastAsia="Garamond" w:hAnsi="Garamond"/>
          <w:sz w:val="16"/>
          <w:szCs w:val="16"/>
          <w:vertAlign w:val="superscript"/>
        </w:rPr>
        <w:footnoteReference w:customMarkFollows="0" w:id="5"/>
      </w:r>
      <w:r w:rsidDel="00000000" w:rsidR="00000000" w:rsidRPr="00000000">
        <w:rPr>
          <w:rFonts w:ascii="Garamond" w:cs="Garamond" w:eastAsia="Garamond" w:hAnsi="Garamond"/>
          <w:sz w:val="16"/>
          <w:szCs w:val="16"/>
          <w:rtl w:val="0"/>
        </w:rPr>
        <w:t xml:space="preserve">.</w:t>
      </w:r>
    </w:p>
    <w:p w:rsidR="00000000" w:rsidDel="00000000" w:rsidP="00000000" w:rsidRDefault="00000000" w:rsidRPr="00000000" w14:paraId="000000BD">
      <w:pPr>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0BE">
      <w:pPr>
        <w:jc w:val="both"/>
        <w:rPr>
          <w:rFonts w:ascii="Garamond" w:cs="Garamond" w:eastAsia="Garamond" w:hAnsi="Garamond"/>
          <w:sz w:val="16"/>
          <w:szCs w:val="16"/>
        </w:rPr>
      </w:pPr>
      <w:r w:rsidDel="00000000" w:rsidR="00000000" w:rsidRPr="00000000">
        <w:rPr>
          <w:rtl w:val="0"/>
        </w:rPr>
      </w:r>
    </w:p>
    <w:p w:rsidR="00000000" w:rsidDel="00000000" w:rsidP="00000000" w:rsidRDefault="00000000" w:rsidRPr="00000000" w14:paraId="000000BF">
      <w:pPr>
        <w:pStyle w:val="Heading3"/>
        <w:numPr>
          <w:ilvl w:val="2"/>
          <w:numId w:val="9"/>
        </w:numPr>
        <w:spacing w:before="0" w:lineRule="auto"/>
        <w:ind w:left="838" w:hanging="720"/>
        <w:rPr>
          <w:rFonts w:ascii="Garamond" w:cs="Garamond" w:eastAsia="Garamond" w:hAnsi="Garamond"/>
          <w:b w:val="1"/>
          <w:bCs w:val="1"/>
          <w:color w:val="000000"/>
        </w:rPr>
      </w:pPr>
      <w:r w:rsidDel="00000000" w:rsidR="00000000" w:rsidRPr="00000000">
        <w:rPr>
          <w:rFonts w:ascii="Garamond" w:cs="Garamond" w:eastAsia="Garamond" w:hAnsi="Garamond"/>
          <w:b w:val="1"/>
          <w:bCs w:val="1"/>
          <w:color w:val="000000"/>
          <w:rtl w:val="0"/>
        </w:rPr>
        <w:t xml:space="preserve">Aspectos Económicos:</w:t>
      </w:r>
    </w:p>
    <w:p w:rsidR="00000000" w:rsidDel="00000000" w:rsidP="00000000" w:rsidRDefault="00000000" w:rsidRPr="00000000" w14:paraId="000000C0">
      <w:pPr>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0C1">
      <w:pPr>
        <w:spacing w:after="240" w:before="240" w:lineRule="auto"/>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Variación anual de los ingresos nominales y contribución por tipo de ingresos, según subsector de servicios</w:t>
        <w:br w:type="textWrapping"/>
        <w:t xml:space="preserve"> (febrero 2026p / febrero 2025)</w:t>
      </w:r>
    </w:p>
    <w:p w:rsidR="00000000" w:rsidDel="00000000" w:rsidP="00000000" w:rsidRDefault="00000000" w:rsidRPr="00000000" w14:paraId="000000C2">
      <w:pPr>
        <w:spacing w:after="240" w:befor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En febrero de 2026, catorce de los dieciocho subsectores de servicios presentaron variación positiva en los ingresos nominales totales, en comparación con febrero de 2025.</w:t>
      </w:r>
    </w:p>
    <w:p w:rsidR="00000000" w:rsidDel="00000000" w:rsidP="00000000" w:rsidRDefault="00000000" w:rsidRPr="00000000" w14:paraId="000000C3">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 </w:t>
      </w:r>
    </w:p>
    <w:p w:rsidR="00000000" w:rsidDel="00000000" w:rsidP="00000000" w:rsidRDefault="00000000" w:rsidRPr="00000000" w14:paraId="000000C4">
      <w:pPr>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0C5">
      <w:pPr>
        <w:jc w:val="both"/>
        <w:rPr>
          <w:rFonts w:ascii="Garamond" w:cs="Garamond" w:eastAsia="Garamond" w:hAnsi="Garamond"/>
        </w:rPr>
      </w:pPr>
      <w:r w:rsidDel="00000000" w:rsidR="00000000" w:rsidRPr="00000000">
        <w:rPr>
          <w:rFonts w:ascii="Garamond" w:cs="Garamond" w:eastAsia="Garamond" w:hAnsi="Garamond"/>
          <w:sz w:val="24"/>
          <w:szCs w:val="24"/>
        </w:rPr>
        <w:drawing>
          <wp:inline distB="114300" distT="114300" distL="114300" distR="114300">
            <wp:extent cx="6134100" cy="4965700"/>
            <wp:effectExtent b="0" l="0" r="0" t="0"/>
            <wp:docPr id="29" name="image31.png"/>
            <a:graphic>
              <a:graphicData uri="http://schemas.openxmlformats.org/drawingml/2006/picture">
                <pic:pic>
                  <pic:nvPicPr>
                    <pic:cNvPr id="0" name="image31.png"/>
                    <pic:cNvPicPr preferRelativeResize="0"/>
                  </pic:nvPicPr>
                  <pic:blipFill>
                    <a:blip r:embed="rId20"/>
                    <a:srcRect b="0" l="0" r="0" t="0"/>
                    <a:stretch>
                      <a:fillRect/>
                    </a:stretch>
                  </pic:blipFill>
                  <pic:spPr>
                    <a:xfrm>
                      <a:off x="0" y="0"/>
                      <a:ext cx="6134100" cy="4965700"/>
                    </a:xfrm>
                    <a:prstGeom prst="rect"/>
                    <a:ln/>
                  </pic:spPr>
                </pic:pic>
              </a:graphicData>
            </a:graphic>
          </wp:inline>
        </w:drawing>
      </w:r>
      <w:r w:rsidDel="00000000" w:rsidR="00000000" w:rsidRPr="00000000">
        <w:rPr>
          <w:rtl w:val="0"/>
        </w:rPr>
      </w:r>
    </w:p>
    <w:p w:rsidR="00000000" w:rsidDel="00000000" w:rsidP="00000000" w:rsidRDefault="00000000" w:rsidRPr="00000000" w14:paraId="000000C6">
      <w:pPr>
        <w:jc w:val="center"/>
        <w:rPr>
          <w:rFonts w:ascii="Garamond" w:cs="Garamond" w:eastAsia="Garamond" w:hAnsi="Garamond"/>
          <w:sz w:val="16"/>
          <w:szCs w:val="16"/>
        </w:rPr>
      </w:pPr>
      <w:r w:rsidDel="00000000" w:rsidR="00000000" w:rsidRPr="00000000">
        <w:rPr>
          <w:rtl w:val="0"/>
        </w:rPr>
      </w:r>
    </w:p>
    <w:p w:rsidR="00000000" w:rsidDel="00000000" w:rsidP="00000000" w:rsidRDefault="00000000" w:rsidRPr="00000000" w14:paraId="000000C7">
      <w:pPr>
        <w:jc w:val="center"/>
        <w:rPr>
          <w:rFonts w:ascii="Garamond" w:cs="Garamond" w:eastAsia="Garamond" w:hAnsi="Garamond"/>
          <w:sz w:val="16"/>
          <w:szCs w:val="16"/>
        </w:rPr>
      </w:pPr>
      <w:r w:rsidDel="00000000" w:rsidR="00000000" w:rsidRPr="00000000">
        <w:rPr>
          <w:rFonts w:ascii="Garamond" w:cs="Garamond" w:eastAsia="Garamond" w:hAnsi="Garamond"/>
          <w:sz w:val="16"/>
          <w:szCs w:val="16"/>
          <w:rtl w:val="0"/>
        </w:rPr>
        <w:t xml:space="preserve">Fuente: DANE - Encuesta Mensual de Servicios (EMS) abril de 2026</w:t>
      </w:r>
      <w:r w:rsidDel="00000000" w:rsidR="00000000" w:rsidRPr="00000000">
        <w:rPr>
          <w:rFonts w:ascii="Garamond" w:cs="Garamond" w:eastAsia="Garamond" w:hAnsi="Garamond"/>
          <w:sz w:val="16"/>
          <w:szCs w:val="16"/>
          <w:vertAlign w:val="superscript"/>
        </w:rPr>
        <w:footnoteReference w:customMarkFollows="0" w:id="6"/>
      </w:r>
      <w:r w:rsidDel="00000000" w:rsidR="00000000" w:rsidRPr="00000000">
        <w:rPr>
          <w:rFonts w:ascii="Garamond" w:cs="Garamond" w:eastAsia="Garamond" w:hAnsi="Garamond"/>
          <w:sz w:val="16"/>
          <w:szCs w:val="16"/>
          <w:rtl w:val="0"/>
        </w:rPr>
        <w:t xml:space="preserve">.</w:t>
      </w:r>
    </w:p>
    <w:p w:rsidR="00000000" w:rsidDel="00000000" w:rsidP="00000000" w:rsidRDefault="00000000" w:rsidRPr="00000000" w14:paraId="000000C8">
      <w:pPr>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0C9">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Teniendo en cuenta que el presente proceso corresponde a una prestación de servicios, en relación al PIB se toma como objeto de estudio la actividad </w:t>
      </w:r>
      <w:r w:rsidDel="00000000" w:rsidR="00000000" w:rsidRPr="00000000">
        <w:rPr>
          <w:rFonts w:ascii="Garamond" w:cs="Garamond" w:eastAsia="Garamond" w:hAnsi="Garamond"/>
          <w:i w:val="1"/>
          <w:iCs w:val="1"/>
          <w:sz w:val="24"/>
          <w:szCs w:val="24"/>
          <w:rtl w:val="0"/>
        </w:rPr>
        <w:t xml:space="preserve">“Restaurantes, catering y bares”, la</w:t>
      </w:r>
      <w:r w:rsidDel="00000000" w:rsidR="00000000" w:rsidRPr="00000000">
        <w:rPr>
          <w:rFonts w:ascii="Garamond" w:cs="Garamond" w:eastAsia="Garamond" w:hAnsi="Garamond"/>
          <w:sz w:val="24"/>
          <w:szCs w:val="24"/>
          <w:rtl w:val="0"/>
        </w:rPr>
        <w:t xml:space="preserve"> cual presentó una variación anual positiva en cuanto a los ingresos nominales como se evidencia en la anterior gráfica.</w:t>
      </w:r>
    </w:p>
    <w:p w:rsidR="00000000" w:rsidDel="00000000" w:rsidP="00000000" w:rsidRDefault="00000000" w:rsidRPr="00000000" w14:paraId="000000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sz w:val="23"/>
          <w:szCs w:val="23"/>
        </w:rPr>
      </w:pPr>
      <w:r w:rsidDel="00000000" w:rsidR="00000000" w:rsidRPr="00000000">
        <w:rPr>
          <w:rtl w:val="0"/>
        </w:rPr>
      </w:r>
    </w:p>
    <w:p w:rsidR="00000000" w:rsidDel="00000000" w:rsidP="00000000" w:rsidRDefault="00000000" w:rsidRPr="00000000" w14:paraId="000000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sz w:val="23"/>
          <w:szCs w:val="23"/>
        </w:rPr>
      </w:pPr>
      <w:r w:rsidDel="00000000" w:rsidR="00000000" w:rsidRPr="00000000">
        <w:rPr>
          <w:rtl w:val="0"/>
        </w:rPr>
      </w:r>
    </w:p>
    <w:p w:rsidR="00000000" w:rsidDel="00000000" w:rsidP="00000000" w:rsidRDefault="00000000" w:rsidRPr="00000000" w14:paraId="000000CC">
      <w:pPr>
        <w:pStyle w:val="Heading3"/>
        <w:numPr>
          <w:ilvl w:val="2"/>
          <w:numId w:val="9"/>
        </w:numPr>
        <w:spacing w:before="0" w:lineRule="auto"/>
        <w:ind w:left="838" w:hanging="720"/>
        <w:rPr>
          <w:rFonts w:ascii="Garamond" w:cs="Garamond" w:eastAsia="Garamond" w:hAnsi="Garamond"/>
          <w:b w:val="1"/>
          <w:bCs w:val="1"/>
          <w:color w:val="000000"/>
        </w:rPr>
      </w:pPr>
      <w:r w:rsidDel="00000000" w:rsidR="00000000" w:rsidRPr="00000000">
        <w:rPr>
          <w:rFonts w:ascii="Garamond" w:cs="Garamond" w:eastAsia="Garamond" w:hAnsi="Garamond"/>
          <w:b w:val="1"/>
          <w:bCs w:val="1"/>
          <w:color w:val="000000"/>
          <w:rtl w:val="0"/>
        </w:rPr>
        <w:t xml:space="preserve">Variables económicas que afectan el sector</w:t>
      </w:r>
    </w:p>
    <w:p w:rsidR="00000000" w:rsidDel="00000000" w:rsidP="00000000" w:rsidRDefault="00000000" w:rsidRPr="00000000" w14:paraId="000000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left"/>
        <w:rPr>
          <w:rFonts w:ascii="Garamond" w:cs="Garamond" w:eastAsia="Garamond" w:hAnsi="Garamond"/>
          <w:b w:val="1"/>
          <w:bCs w:val="1"/>
          <w:sz w:val="23"/>
          <w:szCs w:val="23"/>
        </w:rPr>
      </w:pPr>
      <w:r w:rsidDel="00000000" w:rsidR="00000000" w:rsidRPr="00000000">
        <w:rPr>
          <w:rtl w:val="0"/>
        </w:rPr>
      </w:r>
    </w:p>
    <w:p w:rsidR="00000000" w:rsidDel="00000000" w:rsidP="00000000" w:rsidRDefault="00000000" w:rsidRPr="00000000" w14:paraId="000000CE">
      <w:pPr>
        <w:spacing w:after="240" w:befor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En 2025 y los primeros meses de 2026, la inflación en Colombia ha continuado con una tendencia de desaceleración, aunque aún en niveles por encima del rango meta del banco central. La variación mensual del Índice de Precios al Consumidor (IPC) se ha ubicado generalmente entre 0,2% y 0,6%, dependiendo del mes, reflejando presiones inflacionarias moderadas pero persistentes.</w:t>
      </w:r>
    </w:p>
    <w:p w:rsidR="00000000" w:rsidDel="00000000" w:rsidP="00000000" w:rsidRDefault="00000000" w:rsidRPr="00000000" w14:paraId="000000CF">
      <w:pPr>
        <w:spacing w:after="240" w:befor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En términos anuales, la inflación cerró 2025 en un rango aproximado de 7,0% a 7,5%, mientras que en el inicio de 2026 ha mostrado una reducción gradual, ubicándose alrededor de 5,5% a 6,5%. Este comportamiento responde a la moderación en los precios de alimentos, la normalización de cadenas de suministro y una política monetaria restrictiva que ha contribuido a contener la demanda.</w:t>
      </w:r>
    </w:p>
    <w:p w:rsidR="00000000" w:rsidDel="00000000" w:rsidP="00000000" w:rsidRDefault="00000000" w:rsidRPr="00000000" w14:paraId="000000D0">
      <w:pPr>
        <w:spacing w:after="240" w:befor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Por divisiones de gasto, los mayores aportes a la inflación mensual han provenido de alimentos y bebidas no alcohólicas, con variaciones cercanas a 0,5%–0,8% mensual en varios periodos, y de alojamiento, agua, electricidad, gas y otros combustibles, con incrementos entre 0,3% y 0,6%, asociados a ajustes tarifarios. Asimismo, restaurantes y hoteles han presentado variaciones moderadas, alrededor de 0,3%–0,5%, en línea con la dinámica del consumo.</w:t>
      </w:r>
    </w:p>
    <w:p w:rsidR="00000000" w:rsidDel="00000000" w:rsidP="00000000" w:rsidRDefault="00000000" w:rsidRPr="00000000" w14:paraId="000000D1">
      <w:pPr>
        <w:spacing w:after="240" w:befor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En contraste, divisiones como transporte, información y comunicaciones, y recreación y cultura han registrado variaciones más bajas o incluso negativas en algunos meses (entre -0,5% y 0,1%), debido a reducciones en tarifas, efectos base y ajustes en precios regulados. Educación, por su parte, mantiene un comportamiento estacional, con variaciones cercanas a 0% en varios meses del año.</w:t>
      </w:r>
    </w:p>
    <w:p w:rsidR="00000000" w:rsidDel="00000000" w:rsidP="00000000" w:rsidRDefault="00000000" w:rsidRPr="00000000" w14:paraId="000000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both"/>
        <w:rPr>
          <w:rFonts w:ascii="Garamond" w:cs="Garamond" w:eastAsia="Garamond" w:hAnsi="Garamond"/>
          <w:sz w:val="24"/>
          <w:szCs w:val="24"/>
        </w:rPr>
      </w:pPr>
      <w:r w:rsidDel="00000000" w:rsidR="00000000" w:rsidRPr="00000000">
        <w:rPr>
          <w:rFonts w:ascii="Garamond" w:cs="Garamond" w:eastAsia="Garamond" w:hAnsi="Garamond"/>
          <w:sz w:val="24"/>
          <w:szCs w:val="24"/>
        </w:rPr>
        <w:drawing>
          <wp:inline distB="114300" distT="114300" distL="114300" distR="114300">
            <wp:extent cx="6037263" cy="4733925"/>
            <wp:effectExtent b="0" l="0" r="0" t="0"/>
            <wp:docPr id="8" name="image16.png"/>
            <a:graphic>
              <a:graphicData uri="http://schemas.openxmlformats.org/drawingml/2006/picture">
                <pic:pic>
                  <pic:nvPicPr>
                    <pic:cNvPr id="0" name="image16.png"/>
                    <pic:cNvPicPr preferRelativeResize="0"/>
                  </pic:nvPicPr>
                  <pic:blipFill>
                    <a:blip r:embed="rId21"/>
                    <a:srcRect b="0" l="0" r="0" t="0"/>
                    <a:stretch>
                      <a:fillRect/>
                    </a:stretch>
                  </pic:blipFill>
                  <pic:spPr>
                    <a:xfrm>
                      <a:off x="0" y="0"/>
                      <a:ext cx="6037263" cy="4733925"/>
                    </a:xfrm>
                    <a:prstGeom prst="rect"/>
                    <a:ln/>
                  </pic:spPr>
                </pic:pic>
              </a:graphicData>
            </a:graphic>
          </wp:inline>
        </w:drawing>
      </w:r>
      <w:r w:rsidDel="00000000" w:rsidR="00000000" w:rsidRPr="00000000">
        <w:rPr>
          <w:rtl w:val="0"/>
        </w:rPr>
      </w:r>
    </w:p>
    <w:p w:rsidR="00000000" w:rsidDel="00000000" w:rsidP="00000000" w:rsidRDefault="00000000" w:rsidRPr="00000000" w14:paraId="000000D3">
      <w:pPr>
        <w:spacing w:before="10" w:lineRule="auto"/>
        <w:jc w:val="center"/>
        <w:rPr>
          <w:rFonts w:ascii="Garamond" w:cs="Garamond" w:eastAsia="Garamond" w:hAnsi="Garamond"/>
          <w:sz w:val="16"/>
          <w:szCs w:val="16"/>
        </w:rPr>
      </w:pPr>
      <w:r w:rsidDel="00000000" w:rsidR="00000000" w:rsidRPr="00000000">
        <w:rPr>
          <w:rFonts w:ascii="Garamond" w:cs="Garamond" w:eastAsia="Garamond" w:hAnsi="Garamond"/>
          <w:sz w:val="16"/>
          <w:szCs w:val="16"/>
          <w:rtl w:val="0"/>
        </w:rPr>
        <w:t xml:space="preserve">Fuente: Banco de la Republica - Boletín de Indicadores Económicos -2026</w:t>
      </w:r>
      <w:r w:rsidDel="00000000" w:rsidR="00000000" w:rsidRPr="00000000">
        <w:rPr>
          <w:rFonts w:ascii="Garamond" w:cs="Garamond" w:eastAsia="Garamond" w:hAnsi="Garamond"/>
          <w:sz w:val="26"/>
          <w:szCs w:val="26"/>
          <w:vertAlign w:val="superscript"/>
          <w:rtl w:val="0"/>
        </w:rPr>
        <w:t xml:space="preserve">11</w:t>
      </w:r>
      <w:r w:rsidDel="00000000" w:rsidR="00000000" w:rsidRPr="00000000">
        <w:rPr>
          <w:rFonts w:ascii="Garamond" w:cs="Garamond" w:eastAsia="Garamond" w:hAnsi="Garamond"/>
          <w:sz w:val="16"/>
          <w:szCs w:val="16"/>
          <w:rtl w:val="0"/>
        </w:rPr>
        <w:t xml:space="preserve">.</w:t>
      </w:r>
    </w:p>
    <w:p w:rsidR="00000000" w:rsidDel="00000000" w:rsidP="00000000" w:rsidRDefault="00000000" w:rsidRPr="00000000" w14:paraId="000000D4">
      <w:pPr>
        <w:spacing w:before="10" w:lineRule="auto"/>
        <w:jc w:val="center"/>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0D5">
      <w:pPr>
        <w:spacing w:before="10" w:lineRule="auto"/>
        <w:jc w:val="center"/>
        <w:rPr>
          <w:rFonts w:ascii="Garamond" w:cs="Garamond" w:eastAsia="Garamond" w:hAnsi="Garamond"/>
          <w:sz w:val="24"/>
          <w:szCs w:val="24"/>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D6">
      <w:pPr>
        <w:jc w:val="left"/>
        <w:rPr>
          <w:rFonts w:ascii="Calibri" w:cs="Calibri" w:eastAsia="Calibri" w:hAnsi="Calibri"/>
          <w:sz w:val="14"/>
          <w:szCs w:val="14"/>
        </w:rPr>
      </w:pPr>
      <w:r w:rsidDel="00000000" w:rsidR="00000000" w:rsidRPr="00000000">
        <w:rPr>
          <w:rFonts w:ascii="Calibri" w:cs="Calibri" w:eastAsia="Calibri" w:hAnsi="Calibri"/>
          <w:sz w:val="14"/>
          <w:szCs w:val="14"/>
          <w:rtl w:val="0"/>
        </w:rPr>
        <w:t xml:space="preserve">Banco de la Republica - Boletín de Indicadores Económicos. Versión electrónica disponible en el link: </w:t>
      </w:r>
      <w:hyperlink r:id="rId22">
        <w:r w:rsidDel="00000000" w:rsidR="00000000" w:rsidRPr="00000000">
          <w:rPr>
            <w:rFonts w:ascii="Calibri" w:cs="Calibri" w:eastAsia="Calibri" w:hAnsi="Calibri"/>
            <w:sz w:val="14"/>
            <w:szCs w:val="14"/>
            <w:rtl w:val="0"/>
          </w:rPr>
          <w:t xml:space="preserve"> </w:t>
        </w:r>
      </w:hyperlink>
      <w:hyperlink r:id="rId23">
        <w:r w:rsidDel="00000000" w:rsidR="00000000" w:rsidRPr="00000000">
          <w:rPr>
            <w:rFonts w:ascii="Calibri" w:cs="Calibri" w:eastAsia="Calibri" w:hAnsi="Calibri"/>
            <w:color w:val="0000ff"/>
            <w:sz w:val="14"/>
            <w:szCs w:val="14"/>
            <w:u w:val="single"/>
            <w:rtl w:val="0"/>
          </w:rPr>
          <w:t xml:space="preserve">https://www.banrep.gov.co/en/node/29194</w:t>
        </w:r>
      </w:hyperlink>
      <w:r w:rsidDel="00000000" w:rsidR="00000000" w:rsidRPr="00000000">
        <w:rPr>
          <w:rFonts w:ascii="Calibri" w:cs="Calibri" w:eastAsia="Calibri" w:hAnsi="Calibri"/>
          <w:sz w:val="14"/>
          <w:szCs w:val="14"/>
          <w:rtl w:val="0"/>
        </w:rPr>
        <w:t xml:space="preserve">   consultada el 26 de junio de 2025.</w:t>
      </w:r>
    </w:p>
    <w:p w:rsidR="00000000" w:rsidDel="00000000" w:rsidP="00000000" w:rsidRDefault="00000000" w:rsidRPr="00000000" w14:paraId="000000D7">
      <w:pPr>
        <w:jc w:val="both"/>
        <w:rPr>
          <w:rFonts w:ascii="Calibri" w:cs="Calibri" w:eastAsia="Calibri" w:hAnsi="Calibri"/>
          <w:sz w:val="14"/>
          <w:szCs w:val="14"/>
        </w:rPr>
      </w:pPr>
      <w:r w:rsidDel="00000000" w:rsidR="00000000" w:rsidRPr="00000000">
        <w:rPr>
          <w:rFonts w:ascii="Calibri" w:cs="Calibri" w:eastAsia="Calibri" w:hAnsi="Calibri"/>
          <w:sz w:val="14"/>
          <w:szCs w:val="14"/>
          <w:rtl w:val="0"/>
        </w:rPr>
        <w:t xml:space="preserve"> </w:t>
      </w:r>
    </w:p>
    <w:p w:rsidR="00000000" w:rsidDel="00000000" w:rsidP="00000000" w:rsidRDefault="00000000" w:rsidRPr="00000000" w14:paraId="000000D8">
      <w:pPr>
        <w:jc w:val="both"/>
        <w:rPr>
          <w:rFonts w:ascii="Garamond" w:cs="Garamond" w:eastAsia="Garamond" w:hAnsi="Garamond"/>
          <w:sz w:val="16"/>
          <w:szCs w:val="16"/>
        </w:rPr>
      </w:pPr>
      <w:r w:rsidDel="00000000" w:rsidR="00000000" w:rsidRPr="00000000">
        <w:rPr>
          <w:rtl w:val="0"/>
        </w:rPr>
      </w:r>
    </w:p>
    <w:p w:rsidR="00000000" w:rsidDel="00000000" w:rsidP="00000000" w:rsidRDefault="00000000" w:rsidRPr="00000000" w14:paraId="000000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0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0D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Garamond" w:cs="Garamond" w:eastAsia="Garamond" w:hAnsi="Garamond"/>
          <w:b w:val="0"/>
          <w:bCs w:val="0"/>
          <w:i w:val="0"/>
          <w:iCs w:val="0"/>
          <w:smallCaps w:val="0"/>
          <w:strike w:val="0"/>
          <w:color w:val="000000"/>
          <w:sz w:val="16"/>
          <w:szCs w:val="16"/>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16"/>
          <w:szCs w:val="16"/>
          <w:u w:val="none"/>
          <w:shd w:fill="auto" w:val="clear"/>
          <w:vertAlign w:val="baseline"/>
          <w:rtl w:val="0"/>
        </w:rPr>
        <w:t xml:space="preserve"> Fuente: Banco de la Republica - Boletín de Indicadores Económicos -Abril 202</w:t>
      </w:r>
      <w:r w:rsidDel="00000000" w:rsidR="00000000" w:rsidRPr="00000000">
        <w:rPr>
          <w:rFonts w:ascii="Garamond" w:cs="Garamond" w:eastAsia="Garamond" w:hAnsi="Garamond"/>
          <w:sz w:val="16"/>
          <w:szCs w:val="16"/>
          <w:rtl w:val="0"/>
        </w:rPr>
        <w:t xml:space="preserve">6</w:t>
      </w:r>
      <w:r w:rsidDel="00000000" w:rsidR="00000000" w:rsidRPr="00000000">
        <w:rPr>
          <w:rFonts w:ascii="Garamond" w:cs="Garamond" w:eastAsia="Garamond" w:hAnsi="Garamond"/>
          <w:b w:val="0"/>
          <w:bCs w:val="0"/>
          <w:i w:val="0"/>
          <w:iCs w:val="0"/>
          <w:smallCaps w:val="0"/>
          <w:strike w:val="0"/>
          <w:color w:val="000000"/>
          <w:sz w:val="16"/>
          <w:szCs w:val="16"/>
          <w:u w:val="none"/>
          <w:shd w:fill="auto" w:val="clear"/>
          <w:vertAlign w:val="superscript"/>
        </w:rPr>
        <w:footnoteReference w:customMarkFollows="0" w:id="7"/>
      </w:r>
      <w:r w:rsidDel="00000000" w:rsidR="00000000" w:rsidRPr="00000000">
        <w:rPr>
          <w:rFonts w:ascii="Garamond" w:cs="Garamond" w:eastAsia="Garamond" w:hAnsi="Garamond"/>
          <w:b w:val="0"/>
          <w:bCs w:val="0"/>
          <w:i w:val="0"/>
          <w:iCs w:val="0"/>
          <w:smallCaps w:val="0"/>
          <w:strike w:val="0"/>
          <w:color w:val="000000"/>
          <w:sz w:val="16"/>
          <w:szCs w:val="16"/>
          <w:u w:val="none"/>
          <w:shd w:fill="auto" w:val="clear"/>
          <w:vertAlign w:val="baseline"/>
          <w:rtl w:val="0"/>
        </w:rPr>
        <w:t xml:space="preserve">.</w:t>
      </w:r>
    </w:p>
    <w:p w:rsidR="00000000" w:rsidDel="00000000" w:rsidP="00000000" w:rsidRDefault="00000000" w:rsidRPr="00000000" w14:paraId="000000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Es necesario tener en cuenta que la tasa de cambio del peso colombiano con respecto al dólar incide directamente en el valor del servicio requerido por la Entidad, debido a que el aporte de la entidad internacional </w:t>
      </w:r>
      <w:r w:rsidDel="00000000" w:rsidR="00000000" w:rsidRPr="00000000">
        <w:rPr>
          <w:rFonts w:ascii="Garamond" w:cs="Garamond" w:eastAsia="Garamond" w:hAnsi="Garamond"/>
          <w:sz w:val="24"/>
          <w:szCs w:val="24"/>
          <w:rtl w:val="0"/>
        </w:rPr>
        <w:t xml:space="preserve">está tasado</w:t>
      </w: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 en dólares. </w:t>
      </w:r>
    </w:p>
    <w:p w:rsidR="00000000" w:rsidDel="00000000" w:rsidP="00000000" w:rsidRDefault="00000000" w:rsidRPr="00000000" w14:paraId="000000DD">
      <w:pPr>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0DE">
      <w:pPr>
        <w:rPr/>
      </w:pPr>
      <w:r w:rsidDel="00000000" w:rsidR="00000000" w:rsidRPr="00000000">
        <w:rPr>
          <w:rtl w:val="0"/>
        </w:rPr>
      </w:r>
    </w:p>
    <w:p w:rsidR="00000000" w:rsidDel="00000000" w:rsidP="00000000" w:rsidRDefault="00000000" w:rsidRPr="00000000" w14:paraId="000000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Al analizar el comportamiento de la Tasa Representativa del Mercado (TRM) entre el 04 de julio al 01 de agosto de 2025, se puede observar que el valor máximo del dólar fue alcanzado el 23 de mayo con una tasa de cambio de $4.186,71 el mínimo fue de $3.974,37 el 20 de junio y en promedio se ha evidenciado que el tipo de cambio ha estado en $4.050,87.</w:t>
      </w:r>
    </w:p>
    <w:p w:rsidR="00000000" w:rsidDel="00000000" w:rsidP="00000000" w:rsidRDefault="00000000" w:rsidRPr="00000000" w14:paraId="000000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bCs w:val="0"/>
          <w:i w:val="0"/>
          <w:iCs w:val="0"/>
          <w:smallCaps w:val="0"/>
          <w:strike w:val="0"/>
          <w:color w:val="000000"/>
          <w:sz w:val="23"/>
          <w:szCs w:val="23"/>
          <w:u w:val="none"/>
          <w:shd w:fill="auto" w:val="clear"/>
          <w:vertAlign w:val="baseline"/>
        </w:rPr>
      </w:pPr>
      <w:r w:rsidDel="00000000" w:rsidR="00000000" w:rsidRPr="00000000">
        <w:rPr>
          <w:rtl w:val="0"/>
        </w:rPr>
      </w:r>
    </w:p>
    <w:p w:rsidR="00000000" w:rsidDel="00000000" w:rsidP="00000000" w:rsidRDefault="00000000" w:rsidRPr="00000000" w14:paraId="000000E1">
      <w:pPr>
        <w:pStyle w:val="Heading3"/>
        <w:numPr>
          <w:ilvl w:val="2"/>
          <w:numId w:val="9"/>
        </w:numPr>
        <w:spacing w:before="0" w:lineRule="auto"/>
        <w:ind w:left="838" w:hanging="720"/>
        <w:rPr>
          <w:rFonts w:ascii="Garamond" w:cs="Garamond" w:eastAsia="Garamond" w:hAnsi="Garamond"/>
          <w:b w:val="1"/>
          <w:bCs w:val="1"/>
          <w:color w:val="000000"/>
        </w:rPr>
      </w:pPr>
      <w:r w:rsidDel="00000000" w:rsidR="00000000" w:rsidRPr="00000000">
        <w:rPr>
          <w:rFonts w:ascii="Garamond" w:cs="Garamond" w:eastAsia="Garamond" w:hAnsi="Garamond"/>
          <w:b w:val="1"/>
          <w:bCs w:val="1"/>
          <w:color w:val="000000"/>
          <w:rtl w:val="0"/>
        </w:rPr>
        <w:t xml:space="preserve">Tasa de cambio – TRM</w:t>
      </w:r>
    </w:p>
    <w:p w:rsidR="00000000" w:rsidDel="00000000" w:rsidP="00000000" w:rsidRDefault="00000000" w:rsidRPr="00000000" w14:paraId="000000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 w:lineRule="auto"/>
        <w:ind w:left="118" w:right="142"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 w:lineRule="auto"/>
        <w:ind w:left="118" w:right="142"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Para analizar la variable macroeconómica tasa de cambio, expresada en la tasa representativa del mercado (TRM), se debe partir de la premisa que algunos de los bienes requeridos por el fondo pueden ser objeto de importación al país. Por lo tanto, esta variable es de gran sensibilidad a la hora del costeo tanto en Capex como en Opex..</w:t>
      </w:r>
    </w:p>
    <w:p w:rsidR="00000000" w:rsidDel="00000000" w:rsidP="00000000" w:rsidRDefault="00000000" w:rsidRPr="00000000" w14:paraId="000000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left"/>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tbl>
      <w:tblPr>
        <w:tblStyle w:val="Table3"/>
        <w:tblW w:w="6722.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240"/>
        <w:gridCol w:w="2241"/>
        <w:gridCol w:w="2241"/>
        <w:tblGridChange w:id="0">
          <w:tblGrid>
            <w:gridCol w:w="2240"/>
            <w:gridCol w:w="2241"/>
            <w:gridCol w:w="2241"/>
          </w:tblGrid>
        </w:tblGridChange>
      </w:tblGrid>
      <w:tr>
        <w:trPr>
          <w:cantSplit w:val="0"/>
          <w:trHeight w:val="213" w:hRule="atLeast"/>
          <w:tblHeader w:val="0"/>
        </w:trPr>
        <w:tc>
          <w:tcPr>
            <w:shd w:fill="d9d9d9" w:val="clear"/>
          </w:tcPr>
          <w:p w:rsidR="00000000" w:rsidDel="00000000" w:rsidP="00000000" w:rsidRDefault="00000000" w:rsidRPr="00000000" w14:paraId="000000E5">
            <w:pPr>
              <w:jc w:val="center"/>
              <w:rPr>
                <w:rFonts w:ascii="Garamond" w:cs="Garamond" w:eastAsia="Garamond" w:hAnsi="Garamond"/>
                <w:b w:val="1"/>
                <w:bCs w:val="1"/>
                <w:sz w:val="21"/>
                <w:szCs w:val="21"/>
              </w:rPr>
            </w:pPr>
            <w:r w:rsidDel="00000000" w:rsidR="00000000" w:rsidRPr="00000000">
              <w:rPr>
                <w:rFonts w:ascii="Garamond" w:cs="Garamond" w:eastAsia="Garamond" w:hAnsi="Garamond"/>
                <w:b w:val="1"/>
                <w:bCs w:val="1"/>
                <w:sz w:val="21"/>
                <w:szCs w:val="21"/>
                <w:rtl w:val="0"/>
              </w:rPr>
              <w:t xml:space="preserve">AÑO</w:t>
            </w:r>
          </w:p>
        </w:tc>
        <w:tc>
          <w:tcPr>
            <w:shd w:fill="d9d9d9" w:val="clear"/>
          </w:tcPr>
          <w:p w:rsidR="00000000" w:rsidDel="00000000" w:rsidP="00000000" w:rsidRDefault="00000000" w:rsidRPr="00000000" w14:paraId="000000E6">
            <w:pPr>
              <w:jc w:val="center"/>
              <w:rPr>
                <w:rFonts w:ascii="Garamond" w:cs="Garamond" w:eastAsia="Garamond" w:hAnsi="Garamond"/>
                <w:b w:val="1"/>
                <w:bCs w:val="1"/>
                <w:sz w:val="21"/>
                <w:szCs w:val="21"/>
              </w:rPr>
            </w:pPr>
            <w:r w:rsidDel="00000000" w:rsidR="00000000" w:rsidRPr="00000000">
              <w:rPr>
                <w:rFonts w:ascii="Garamond" w:cs="Garamond" w:eastAsia="Garamond" w:hAnsi="Garamond"/>
                <w:b w:val="1"/>
                <w:bCs w:val="1"/>
                <w:sz w:val="21"/>
                <w:szCs w:val="21"/>
                <w:rtl w:val="0"/>
              </w:rPr>
              <w:t xml:space="preserve">TRM (COP)</w:t>
            </w:r>
          </w:p>
        </w:tc>
        <w:tc>
          <w:tcPr>
            <w:shd w:fill="d9d9d9" w:val="clear"/>
          </w:tcPr>
          <w:p w:rsidR="00000000" w:rsidDel="00000000" w:rsidP="00000000" w:rsidRDefault="00000000" w:rsidRPr="00000000" w14:paraId="000000E7">
            <w:pPr>
              <w:jc w:val="center"/>
              <w:rPr>
                <w:rFonts w:ascii="Garamond" w:cs="Garamond" w:eastAsia="Garamond" w:hAnsi="Garamond"/>
                <w:b w:val="1"/>
                <w:bCs w:val="1"/>
                <w:sz w:val="21"/>
                <w:szCs w:val="21"/>
              </w:rPr>
            </w:pPr>
            <w:r w:rsidDel="00000000" w:rsidR="00000000" w:rsidRPr="00000000">
              <w:rPr>
                <w:rFonts w:ascii="Garamond" w:cs="Garamond" w:eastAsia="Garamond" w:hAnsi="Garamond"/>
                <w:b w:val="1"/>
                <w:bCs w:val="1"/>
                <w:sz w:val="21"/>
                <w:szCs w:val="21"/>
                <w:rtl w:val="0"/>
              </w:rPr>
              <w:t xml:space="preserve">VARIACIÓN</w:t>
            </w:r>
          </w:p>
        </w:tc>
      </w:tr>
      <w:tr>
        <w:trPr>
          <w:cantSplit w:val="0"/>
          <w:trHeight w:val="201" w:hRule="atLeast"/>
          <w:tblHeader w:val="0"/>
        </w:trPr>
        <w:tc>
          <w:tcPr/>
          <w:p w:rsidR="00000000" w:rsidDel="00000000" w:rsidP="00000000" w:rsidRDefault="00000000" w:rsidRPr="00000000" w14:paraId="000000E8">
            <w:pPr>
              <w:jc w:val="center"/>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2020</w:t>
            </w:r>
          </w:p>
        </w:tc>
        <w:tc>
          <w:tcPr/>
          <w:p w:rsidR="00000000" w:rsidDel="00000000" w:rsidP="00000000" w:rsidRDefault="00000000" w:rsidRPr="00000000" w14:paraId="000000E9">
            <w:pPr>
              <w:jc w:val="center"/>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3.432</w:t>
            </w:r>
          </w:p>
        </w:tc>
        <w:tc>
          <w:tcPr/>
          <w:p w:rsidR="00000000" w:rsidDel="00000000" w:rsidP="00000000" w:rsidRDefault="00000000" w:rsidRPr="00000000" w14:paraId="000000EA">
            <w:pPr>
              <w:jc w:val="center"/>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11%</w:t>
            </w:r>
          </w:p>
        </w:tc>
      </w:tr>
      <w:tr>
        <w:trPr>
          <w:cantSplit w:val="0"/>
          <w:trHeight w:val="213" w:hRule="atLeast"/>
          <w:tblHeader w:val="0"/>
        </w:trPr>
        <w:tc>
          <w:tcPr/>
          <w:p w:rsidR="00000000" w:rsidDel="00000000" w:rsidP="00000000" w:rsidRDefault="00000000" w:rsidRPr="00000000" w14:paraId="000000EB">
            <w:pPr>
              <w:jc w:val="center"/>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2021</w:t>
            </w:r>
          </w:p>
        </w:tc>
        <w:tc>
          <w:tcPr/>
          <w:p w:rsidR="00000000" w:rsidDel="00000000" w:rsidP="00000000" w:rsidRDefault="00000000" w:rsidRPr="00000000" w14:paraId="000000EC">
            <w:pPr>
              <w:jc w:val="center"/>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3.981</w:t>
            </w:r>
          </w:p>
        </w:tc>
        <w:tc>
          <w:tcPr/>
          <w:p w:rsidR="00000000" w:rsidDel="00000000" w:rsidP="00000000" w:rsidRDefault="00000000" w:rsidRPr="00000000" w14:paraId="000000ED">
            <w:pPr>
              <w:jc w:val="center"/>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4%</w:t>
            </w:r>
          </w:p>
        </w:tc>
      </w:tr>
      <w:tr>
        <w:trPr>
          <w:cantSplit w:val="0"/>
          <w:trHeight w:val="213" w:hRule="atLeast"/>
          <w:tblHeader w:val="0"/>
        </w:trPr>
        <w:tc>
          <w:tcPr/>
          <w:p w:rsidR="00000000" w:rsidDel="00000000" w:rsidP="00000000" w:rsidRDefault="00000000" w:rsidRPr="00000000" w14:paraId="000000EE">
            <w:pPr>
              <w:jc w:val="center"/>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2022</w:t>
            </w:r>
          </w:p>
        </w:tc>
        <w:tc>
          <w:tcPr/>
          <w:p w:rsidR="00000000" w:rsidDel="00000000" w:rsidP="00000000" w:rsidRDefault="00000000" w:rsidRPr="00000000" w14:paraId="000000EF">
            <w:pPr>
              <w:jc w:val="center"/>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4.810</w:t>
            </w:r>
          </w:p>
        </w:tc>
        <w:tc>
          <w:tcPr/>
          <w:p w:rsidR="00000000" w:rsidDel="00000000" w:rsidP="00000000" w:rsidRDefault="00000000" w:rsidRPr="00000000" w14:paraId="000000F0">
            <w:pPr>
              <w:jc w:val="center"/>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7%</w:t>
            </w:r>
          </w:p>
        </w:tc>
      </w:tr>
      <w:tr>
        <w:trPr>
          <w:cantSplit w:val="0"/>
          <w:trHeight w:val="213" w:hRule="atLeast"/>
          <w:tblHeader w:val="0"/>
        </w:trPr>
        <w:tc>
          <w:tcPr/>
          <w:p w:rsidR="00000000" w:rsidDel="00000000" w:rsidP="00000000" w:rsidRDefault="00000000" w:rsidRPr="00000000" w14:paraId="000000F1">
            <w:pPr>
              <w:jc w:val="center"/>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2023</w:t>
            </w:r>
          </w:p>
        </w:tc>
        <w:tc>
          <w:tcPr/>
          <w:p w:rsidR="00000000" w:rsidDel="00000000" w:rsidP="00000000" w:rsidRDefault="00000000" w:rsidRPr="00000000" w14:paraId="000000F2">
            <w:pPr>
              <w:jc w:val="center"/>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4.325</w:t>
            </w:r>
          </w:p>
        </w:tc>
        <w:tc>
          <w:tcPr/>
          <w:p w:rsidR="00000000" w:rsidDel="00000000" w:rsidP="00000000" w:rsidRDefault="00000000" w:rsidRPr="00000000" w14:paraId="000000F3">
            <w:pPr>
              <w:jc w:val="center"/>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1,64%</w:t>
            </w:r>
          </w:p>
        </w:tc>
      </w:tr>
      <w:tr>
        <w:trPr>
          <w:cantSplit w:val="0"/>
          <w:trHeight w:val="213" w:hRule="atLeast"/>
          <w:tblHeader w:val="0"/>
        </w:trPr>
        <w:tc>
          <w:tcPr/>
          <w:p w:rsidR="00000000" w:rsidDel="00000000" w:rsidP="00000000" w:rsidRDefault="00000000" w:rsidRPr="00000000" w14:paraId="000000F4">
            <w:pPr>
              <w:jc w:val="center"/>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2024</w:t>
            </w:r>
          </w:p>
        </w:tc>
        <w:tc>
          <w:tcPr/>
          <w:p w:rsidR="00000000" w:rsidDel="00000000" w:rsidP="00000000" w:rsidRDefault="00000000" w:rsidRPr="00000000" w14:paraId="000000F5">
            <w:pPr>
              <w:jc w:val="center"/>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4.071</w:t>
            </w:r>
          </w:p>
        </w:tc>
        <w:tc>
          <w:tcPr/>
          <w:p w:rsidR="00000000" w:rsidDel="00000000" w:rsidP="00000000" w:rsidRDefault="00000000" w:rsidRPr="00000000" w14:paraId="000000F6">
            <w:pPr>
              <w:jc w:val="center"/>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15,36%</w:t>
            </w:r>
          </w:p>
        </w:tc>
      </w:tr>
      <w:tr>
        <w:trPr>
          <w:cantSplit w:val="0"/>
          <w:trHeight w:val="213" w:hRule="atLeast"/>
          <w:tblHeader w:val="0"/>
        </w:trPr>
        <w:tc>
          <w:tcPr/>
          <w:p w:rsidR="00000000" w:rsidDel="00000000" w:rsidP="00000000" w:rsidRDefault="00000000" w:rsidRPr="00000000" w14:paraId="000000F7">
            <w:pPr>
              <w:jc w:val="center"/>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2025</w:t>
            </w:r>
          </w:p>
        </w:tc>
        <w:tc>
          <w:tcPr/>
          <w:p w:rsidR="00000000" w:rsidDel="00000000" w:rsidP="00000000" w:rsidRDefault="00000000" w:rsidRPr="00000000" w14:paraId="000000F8">
            <w:pPr>
              <w:jc w:val="center"/>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3.757</w:t>
            </w:r>
          </w:p>
        </w:tc>
        <w:tc>
          <w:tcPr/>
          <w:p w:rsidR="00000000" w:rsidDel="00000000" w:rsidP="00000000" w:rsidRDefault="00000000" w:rsidRPr="00000000" w14:paraId="000000F9">
            <w:pPr>
              <w:jc w:val="center"/>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-14.79%</w:t>
            </w:r>
          </w:p>
        </w:tc>
      </w:tr>
    </w:tbl>
    <w:p w:rsidR="00000000" w:rsidDel="00000000" w:rsidP="00000000" w:rsidRDefault="00000000" w:rsidRPr="00000000" w14:paraId="000000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FB">
      <w:pPr>
        <w:pStyle w:val="Heading3"/>
        <w:numPr>
          <w:ilvl w:val="2"/>
          <w:numId w:val="9"/>
        </w:numPr>
        <w:spacing w:before="0" w:lineRule="auto"/>
        <w:ind w:left="838" w:hanging="720"/>
        <w:rPr>
          <w:rFonts w:ascii="Garamond" w:cs="Garamond" w:eastAsia="Garamond" w:hAnsi="Garamond"/>
          <w:b w:val="1"/>
          <w:bCs w:val="1"/>
          <w:color w:val="000000"/>
        </w:rPr>
      </w:pPr>
      <w:r w:rsidDel="00000000" w:rsidR="00000000" w:rsidRPr="00000000">
        <w:rPr>
          <w:rFonts w:ascii="Garamond" w:cs="Garamond" w:eastAsia="Garamond" w:hAnsi="Garamond"/>
          <w:b w:val="1"/>
          <w:bCs w:val="1"/>
          <w:color w:val="000000"/>
          <w:rtl w:val="0"/>
        </w:rPr>
        <w:t xml:space="preserve">Salario mínimo</w:t>
      </w:r>
    </w:p>
    <w:p w:rsidR="00000000" w:rsidDel="00000000" w:rsidP="00000000" w:rsidRDefault="00000000" w:rsidRPr="00000000" w14:paraId="000000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1"/>
          <w:bCs w:val="1"/>
          <w:i w:val="0"/>
          <w:iCs w:val="0"/>
          <w:smallCaps w:val="0"/>
          <w:strike w:val="0"/>
          <w:color w:val="000000"/>
          <w:sz w:val="23"/>
          <w:szCs w:val="23"/>
          <w:u w:val="none"/>
          <w:shd w:fill="auto" w:val="clear"/>
          <w:vertAlign w:val="baseline"/>
        </w:rPr>
      </w:pPr>
      <w:r w:rsidDel="00000000" w:rsidR="00000000" w:rsidRPr="00000000">
        <w:rPr>
          <w:rtl w:val="0"/>
        </w:rPr>
      </w:r>
    </w:p>
    <w:p w:rsidR="00000000" w:rsidDel="00000000" w:rsidP="00000000" w:rsidRDefault="00000000" w:rsidRPr="00000000" w14:paraId="000000FD">
      <w:pPr>
        <w:spacing w:line="274"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El monto del salario mínimo para el año 2026 quedó en $1.750.905, con un auxilio de transporte de $249.095, para un factor prestacional mensual de referencia de $2.000.000. Este valor fue definido mediante el Decreto 1469 del 29 de diciembre de 2025, por medio del cual se fijó el salario mínimo legal mensual vigente para 2026, y el Decreto 1470 del 29 de diciembre de 2025, mediante el cual se fijó el auxilio de transporte para la misma vigencia. Ambos valores rigen a partir del 1 de enero de 2026.</w:t>
      </w:r>
    </w:p>
    <w:p w:rsidR="00000000" w:rsidDel="00000000" w:rsidP="00000000" w:rsidRDefault="00000000" w:rsidRPr="00000000" w14:paraId="000000FE">
      <w:pPr>
        <w:spacing w:line="274"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Frente al año 2025, el salario mínimo pasó de $1.423.500 a $1.750.905, lo que representa un incremento aproximado del 23%. Por su parte, el auxilio de transporte pasó de $200.000 a $249.095, correspondiente a un incremento aproximado del 24,5%.</w:t>
      </w:r>
    </w:p>
    <w:p w:rsidR="00000000" w:rsidDel="00000000" w:rsidP="00000000" w:rsidRDefault="00000000" w:rsidRPr="00000000" w14:paraId="000000FF">
      <w:pPr>
        <w:spacing w:line="274"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En conjunto, el valor mensual de referencia pasó de $1.623.500 en 2025 a $2.000.000 en 2026.</w:t>
      </w:r>
    </w:p>
    <w:p w:rsidR="00000000" w:rsidDel="00000000" w:rsidP="00000000" w:rsidRDefault="00000000" w:rsidRPr="00000000" w14:paraId="00000100">
      <w:pPr>
        <w:spacing w:line="274" w:lineRule="auto"/>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1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4" w:lineRule="auto"/>
        <w:ind w:left="118" w:right="0" w:firstLine="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1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left"/>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tbl>
      <w:tblPr>
        <w:tblStyle w:val="Table4"/>
        <w:tblW w:w="9660.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931.5195225068392"/>
        <w:gridCol w:w="1931.5195225068392"/>
        <w:gridCol w:w="1932.320318328774"/>
        <w:gridCol w:w="1932.320318328774"/>
        <w:gridCol w:w="1932.320318328774"/>
        <w:tblGridChange w:id="0">
          <w:tblGrid>
            <w:gridCol w:w="1931.5195225068392"/>
            <w:gridCol w:w="1931.5195225068392"/>
            <w:gridCol w:w="1932.320318328774"/>
            <w:gridCol w:w="1932.320318328774"/>
            <w:gridCol w:w="1932.320318328774"/>
          </w:tblGrid>
        </w:tblGridChange>
      </w:tblGrid>
      <w:tr>
        <w:trPr>
          <w:cantSplit w:val="0"/>
          <w:trHeight w:val="221.25" w:hRule="atLeast"/>
          <w:tblHeader w:val="0"/>
        </w:trPr>
        <w:tc>
          <w:tcPr/>
          <w:p w:rsidR="00000000" w:rsidDel="00000000" w:rsidP="00000000" w:rsidRDefault="00000000" w:rsidRPr="00000000" w14:paraId="00000103">
            <w:pPr>
              <w:jc w:val="center"/>
              <w:rPr>
                <w:rFonts w:ascii="Garamond" w:cs="Garamond" w:eastAsia="Garamond" w:hAnsi="Garamond"/>
                <w:sz w:val="21"/>
                <w:szCs w:val="21"/>
              </w:rPr>
            </w:pPr>
            <w:r w:rsidDel="00000000" w:rsidR="00000000" w:rsidRPr="00000000">
              <w:rPr>
                <w:rFonts w:ascii="Garamond" w:cs="Garamond" w:eastAsia="Garamond" w:hAnsi="Garamond"/>
                <w:b w:val="1"/>
                <w:bCs w:val="1"/>
                <w:sz w:val="21"/>
                <w:szCs w:val="21"/>
                <w:rtl w:val="0"/>
              </w:rPr>
              <w:t xml:space="preserve">Descripción</w:t>
            </w:r>
            <w:r w:rsidDel="00000000" w:rsidR="00000000" w:rsidRPr="00000000">
              <w:rPr>
                <w:rtl w:val="0"/>
              </w:rPr>
            </w:r>
          </w:p>
        </w:tc>
        <w:tc>
          <w:tcPr/>
          <w:p w:rsidR="00000000" w:rsidDel="00000000" w:rsidP="00000000" w:rsidRDefault="00000000" w:rsidRPr="00000000" w14:paraId="00000104">
            <w:pPr>
              <w:jc w:val="center"/>
              <w:rPr>
                <w:rFonts w:ascii="Garamond" w:cs="Garamond" w:eastAsia="Garamond" w:hAnsi="Garamond"/>
                <w:b w:val="1"/>
                <w:bCs w:val="1"/>
                <w:sz w:val="21"/>
                <w:szCs w:val="21"/>
              </w:rPr>
            </w:pPr>
            <w:r w:rsidDel="00000000" w:rsidR="00000000" w:rsidRPr="00000000">
              <w:rPr>
                <w:rFonts w:ascii="Garamond" w:cs="Garamond" w:eastAsia="Garamond" w:hAnsi="Garamond"/>
                <w:b w:val="1"/>
                <w:bCs w:val="1"/>
                <w:sz w:val="21"/>
                <w:szCs w:val="21"/>
                <w:rtl w:val="0"/>
              </w:rPr>
              <w:t xml:space="preserve">2023 real</w:t>
            </w:r>
          </w:p>
        </w:tc>
        <w:tc>
          <w:tcPr/>
          <w:p w:rsidR="00000000" w:rsidDel="00000000" w:rsidP="00000000" w:rsidRDefault="00000000" w:rsidRPr="00000000" w14:paraId="00000105">
            <w:pPr>
              <w:jc w:val="center"/>
              <w:rPr>
                <w:rFonts w:ascii="Garamond" w:cs="Garamond" w:eastAsia="Garamond" w:hAnsi="Garamond"/>
                <w:b w:val="1"/>
                <w:bCs w:val="1"/>
                <w:sz w:val="21"/>
                <w:szCs w:val="21"/>
              </w:rPr>
            </w:pPr>
            <w:r w:rsidDel="00000000" w:rsidR="00000000" w:rsidRPr="00000000">
              <w:rPr>
                <w:rFonts w:ascii="Garamond" w:cs="Garamond" w:eastAsia="Garamond" w:hAnsi="Garamond"/>
                <w:b w:val="1"/>
                <w:bCs w:val="1"/>
                <w:sz w:val="21"/>
                <w:szCs w:val="21"/>
                <w:rtl w:val="0"/>
              </w:rPr>
              <w:t xml:space="preserve">2024 real</w:t>
            </w:r>
          </w:p>
        </w:tc>
        <w:tc>
          <w:tcPr/>
          <w:p w:rsidR="00000000" w:rsidDel="00000000" w:rsidP="00000000" w:rsidRDefault="00000000" w:rsidRPr="00000000" w14:paraId="00000106">
            <w:pPr>
              <w:jc w:val="center"/>
              <w:rPr>
                <w:rFonts w:ascii="Garamond" w:cs="Garamond" w:eastAsia="Garamond" w:hAnsi="Garamond"/>
                <w:b w:val="1"/>
                <w:bCs w:val="1"/>
                <w:sz w:val="21"/>
                <w:szCs w:val="21"/>
              </w:rPr>
            </w:pPr>
            <w:r w:rsidDel="00000000" w:rsidR="00000000" w:rsidRPr="00000000">
              <w:rPr>
                <w:rFonts w:ascii="Garamond" w:cs="Garamond" w:eastAsia="Garamond" w:hAnsi="Garamond"/>
                <w:b w:val="1"/>
                <w:bCs w:val="1"/>
                <w:sz w:val="21"/>
                <w:szCs w:val="21"/>
                <w:rtl w:val="0"/>
              </w:rPr>
              <w:t xml:space="preserve">2025 real</w:t>
            </w:r>
          </w:p>
        </w:tc>
        <w:tc>
          <w:tcPr/>
          <w:p w:rsidR="00000000" w:rsidDel="00000000" w:rsidP="00000000" w:rsidRDefault="00000000" w:rsidRPr="00000000" w14:paraId="00000107">
            <w:pPr>
              <w:jc w:val="center"/>
              <w:rPr>
                <w:rFonts w:ascii="Garamond" w:cs="Garamond" w:eastAsia="Garamond" w:hAnsi="Garamond"/>
                <w:b w:val="1"/>
                <w:bCs w:val="1"/>
                <w:sz w:val="21"/>
                <w:szCs w:val="21"/>
              </w:rPr>
            </w:pPr>
            <w:r w:rsidDel="00000000" w:rsidR="00000000" w:rsidRPr="00000000">
              <w:rPr>
                <w:rFonts w:ascii="Garamond" w:cs="Garamond" w:eastAsia="Garamond" w:hAnsi="Garamond"/>
                <w:b w:val="1"/>
                <w:bCs w:val="1"/>
                <w:sz w:val="21"/>
                <w:szCs w:val="21"/>
                <w:rtl w:val="0"/>
              </w:rPr>
              <w:t xml:space="preserve">2026 real</w:t>
            </w:r>
          </w:p>
        </w:tc>
      </w:tr>
      <w:tr>
        <w:trPr>
          <w:cantSplit w:val="0"/>
          <w:trHeight w:val="105" w:hRule="atLeast"/>
          <w:tblHeader w:val="0"/>
        </w:trPr>
        <w:tc>
          <w:tcPr/>
          <w:p w:rsidR="00000000" w:rsidDel="00000000" w:rsidP="00000000" w:rsidRDefault="00000000" w:rsidRPr="00000000" w14:paraId="00000108">
            <w:pPr>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 SMLV </w:t>
            </w:r>
          </w:p>
        </w:tc>
        <w:tc>
          <w:tcPr/>
          <w:p w:rsidR="00000000" w:rsidDel="00000000" w:rsidP="00000000" w:rsidRDefault="00000000" w:rsidRPr="00000000" w14:paraId="00000109">
            <w:pPr>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$ 1.160.000</w:t>
            </w:r>
          </w:p>
        </w:tc>
        <w:tc>
          <w:tcPr/>
          <w:p w:rsidR="00000000" w:rsidDel="00000000" w:rsidP="00000000" w:rsidRDefault="00000000" w:rsidRPr="00000000" w14:paraId="0000010A">
            <w:pPr>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$1.300.000</w:t>
            </w:r>
          </w:p>
        </w:tc>
        <w:tc>
          <w:tcPr/>
          <w:p w:rsidR="00000000" w:rsidDel="00000000" w:rsidP="00000000" w:rsidRDefault="00000000" w:rsidRPr="00000000" w14:paraId="0000010B">
            <w:pPr>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$ 1.423.500</w:t>
            </w:r>
          </w:p>
        </w:tc>
        <w:tc>
          <w:tcPr/>
          <w:p w:rsidR="00000000" w:rsidDel="00000000" w:rsidP="00000000" w:rsidRDefault="00000000" w:rsidRPr="00000000" w14:paraId="0000010C">
            <w:pPr>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$1.750.905</w:t>
            </w:r>
          </w:p>
        </w:tc>
      </w:tr>
      <w:tr>
        <w:trPr>
          <w:cantSplit w:val="0"/>
          <w:trHeight w:val="105" w:hRule="atLeast"/>
          <w:tblHeader w:val="0"/>
        </w:trPr>
        <w:tc>
          <w:tcPr/>
          <w:p w:rsidR="00000000" w:rsidDel="00000000" w:rsidP="00000000" w:rsidRDefault="00000000" w:rsidRPr="00000000" w14:paraId="0000010D">
            <w:pPr>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 Sub-Transporte </w:t>
            </w:r>
          </w:p>
        </w:tc>
        <w:tc>
          <w:tcPr/>
          <w:p w:rsidR="00000000" w:rsidDel="00000000" w:rsidP="00000000" w:rsidRDefault="00000000" w:rsidRPr="00000000" w14:paraId="0000010E">
            <w:pPr>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$ 140.000</w:t>
            </w:r>
          </w:p>
        </w:tc>
        <w:tc>
          <w:tcPr/>
          <w:p w:rsidR="00000000" w:rsidDel="00000000" w:rsidP="00000000" w:rsidRDefault="00000000" w:rsidRPr="00000000" w14:paraId="0000010F">
            <w:pPr>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$162.000</w:t>
            </w:r>
          </w:p>
        </w:tc>
        <w:tc>
          <w:tcPr/>
          <w:p w:rsidR="00000000" w:rsidDel="00000000" w:rsidP="00000000" w:rsidRDefault="00000000" w:rsidRPr="00000000" w14:paraId="00000110">
            <w:pPr>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$200.000</w:t>
            </w:r>
          </w:p>
        </w:tc>
        <w:tc>
          <w:tcPr/>
          <w:p w:rsidR="00000000" w:rsidDel="00000000" w:rsidP="00000000" w:rsidRDefault="00000000" w:rsidRPr="00000000" w14:paraId="00000111">
            <w:pPr>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$249.095</w:t>
            </w:r>
          </w:p>
        </w:tc>
      </w:tr>
      <w:tr>
        <w:trPr>
          <w:cantSplit w:val="0"/>
          <w:tblHeader w:val="0"/>
        </w:trPr>
        <w:tc>
          <w:tcPr/>
          <w:p w:rsidR="00000000" w:rsidDel="00000000" w:rsidP="00000000" w:rsidRDefault="00000000" w:rsidRPr="00000000" w14:paraId="00000112">
            <w:pPr>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 Fact Prestacional </w:t>
            </w:r>
          </w:p>
        </w:tc>
        <w:tc>
          <w:tcPr/>
          <w:p w:rsidR="00000000" w:rsidDel="00000000" w:rsidP="00000000" w:rsidRDefault="00000000" w:rsidRPr="00000000" w14:paraId="00000113">
            <w:pPr>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$ 1.300.000</w:t>
            </w:r>
          </w:p>
        </w:tc>
        <w:tc>
          <w:tcPr/>
          <w:p w:rsidR="00000000" w:rsidDel="00000000" w:rsidP="00000000" w:rsidRDefault="00000000" w:rsidRPr="00000000" w14:paraId="00000114">
            <w:pPr>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$1.462.000</w:t>
            </w:r>
          </w:p>
        </w:tc>
        <w:tc>
          <w:tcPr/>
          <w:p w:rsidR="00000000" w:rsidDel="00000000" w:rsidP="00000000" w:rsidRDefault="00000000" w:rsidRPr="00000000" w14:paraId="00000115">
            <w:pPr>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$1.623.500</w:t>
            </w:r>
          </w:p>
        </w:tc>
        <w:tc>
          <w:tcPr/>
          <w:p w:rsidR="00000000" w:rsidDel="00000000" w:rsidP="00000000" w:rsidRDefault="00000000" w:rsidRPr="00000000" w14:paraId="00000116">
            <w:pPr>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$2.000.000</w:t>
            </w:r>
          </w:p>
        </w:tc>
      </w:tr>
    </w:tbl>
    <w:p w:rsidR="00000000" w:rsidDel="00000000" w:rsidP="00000000" w:rsidRDefault="00000000" w:rsidRPr="00000000" w14:paraId="000001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18">
      <w:pPr>
        <w:pStyle w:val="Heading3"/>
        <w:numPr>
          <w:ilvl w:val="2"/>
          <w:numId w:val="9"/>
        </w:numPr>
        <w:spacing w:before="0" w:lineRule="auto"/>
        <w:ind w:left="838" w:hanging="720"/>
        <w:rPr>
          <w:rFonts w:ascii="Garamond" w:cs="Garamond" w:eastAsia="Garamond" w:hAnsi="Garamond"/>
          <w:b w:val="1"/>
          <w:bCs w:val="1"/>
          <w:color w:val="000000"/>
        </w:rPr>
      </w:pPr>
      <w:r w:rsidDel="00000000" w:rsidR="00000000" w:rsidRPr="00000000">
        <w:rPr>
          <w:rFonts w:ascii="Garamond" w:cs="Garamond" w:eastAsia="Garamond" w:hAnsi="Garamond"/>
          <w:b w:val="1"/>
          <w:bCs w:val="1"/>
          <w:color w:val="000000"/>
          <w:rtl w:val="0"/>
        </w:rPr>
        <w:t xml:space="preserve">Empleo y desempleo</w:t>
      </w:r>
    </w:p>
    <w:p w:rsidR="00000000" w:rsidDel="00000000" w:rsidP="00000000" w:rsidRDefault="00000000" w:rsidRPr="00000000" w14:paraId="000001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left"/>
        <w:rPr>
          <w:rFonts w:ascii="Garamond" w:cs="Garamond" w:eastAsia="Garamond" w:hAnsi="Garamond"/>
          <w:b w:val="1"/>
          <w:bCs w:val="1"/>
          <w:i w:val="0"/>
          <w:iCs w:val="0"/>
          <w:smallCaps w:val="0"/>
          <w:strike w:val="0"/>
          <w:color w:val="000000"/>
          <w:sz w:val="23"/>
          <w:szCs w:val="23"/>
          <w:u w:val="none"/>
          <w:shd w:fill="auto" w:val="clear"/>
          <w:vertAlign w:val="baseline"/>
        </w:rPr>
      </w:pPr>
      <w:r w:rsidDel="00000000" w:rsidR="00000000" w:rsidRPr="00000000">
        <w:rPr>
          <w:rtl w:val="0"/>
        </w:rPr>
      </w:r>
    </w:p>
    <w:p w:rsidR="00000000" w:rsidDel="00000000" w:rsidP="00000000" w:rsidRDefault="00000000" w:rsidRPr="00000000" w14:paraId="000001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 w:lineRule="auto"/>
        <w:ind w:left="118" w:right="133" w:firstLine="0"/>
        <w:jc w:val="both"/>
        <w:rPr>
          <w:rFonts w:ascii="Garamond" w:cs="Garamond" w:eastAsia="Garamond" w:hAnsi="Garamond"/>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sz w:val="24"/>
          <w:szCs w:val="24"/>
          <w:rtl w:val="0"/>
        </w:rPr>
        <w:t xml:space="preserve">Para marzo de 2026, la tasa de desocupación del total nacional fue 8,8%, lo que representó una disminución de 0,8 puntos porcentuales respecto al mismo mes de 2025 (9,6%). La tasa global de participación se ubicó en 65,0% y la tasa de ocupación en 59,3%, en marzo de 2025 estas tasas fueron 64,7% y 58,5%, respectivamente.</w:t>
      </w:r>
      <w:r w:rsidDel="00000000" w:rsidR="00000000" w:rsidRPr="00000000">
        <w:rPr>
          <w:rFonts w:ascii="Garamond" w:cs="Garamond" w:eastAsia="Garamond" w:hAnsi="Garamond"/>
          <w:sz w:val="24"/>
          <w:szCs w:val="24"/>
          <w:rtl w:val="0"/>
        </w:rPr>
        <w:t xml:space="preserve"> </w:t>
      </w:r>
      <w:r w:rsidDel="00000000" w:rsidR="00000000" w:rsidRPr="00000000">
        <w:rPr>
          <w:rtl w:val="0"/>
        </w:rPr>
      </w:r>
    </w:p>
    <w:p w:rsidR="00000000" w:rsidDel="00000000" w:rsidP="00000000" w:rsidRDefault="00000000" w:rsidRPr="00000000" w14:paraId="0000011B">
      <w:pPr>
        <w:spacing w:line="235" w:lineRule="auto"/>
        <w:jc w:val="both"/>
        <w:rPr>
          <w:rFonts w:ascii="Garamond" w:cs="Garamond" w:eastAsia="Garamond" w:hAnsi="Garamond"/>
        </w:rPr>
      </w:pPr>
      <w:r w:rsidDel="00000000" w:rsidR="00000000" w:rsidRPr="00000000">
        <w:rPr>
          <w:rtl w:val="0"/>
        </w:rPr>
      </w:r>
    </w:p>
    <w:p w:rsidR="00000000" w:rsidDel="00000000" w:rsidP="00000000" w:rsidRDefault="00000000" w:rsidRPr="00000000" w14:paraId="0000011C">
      <w:pPr>
        <w:spacing w:line="235" w:lineRule="auto"/>
        <w:jc w:val="center"/>
        <w:rPr>
          <w:rFonts w:ascii="Garamond" w:cs="Garamond" w:eastAsia="Garamond" w:hAnsi="Garamond"/>
        </w:rPr>
      </w:pPr>
      <w:r w:rsidDel="00000000" w:rsidR="00000000" w:rsidRPr="00000000">
        <w:rPr>
          <w:rFonts w:ascii="Garamond" w:cs="Garamond" w:eastAsia="Garamond" w:hAnsi="Garamond"/>
          <w:sz w:val="20"/>
          <w:szCs w:val="20"/>
        </w:rPr>
        <w:drawing>
          <wp:inline distB="114300" distT="114300" distL="114300" distR="114300">
            <wp:extent cx="5004322" cy="3049229"/>
            <wp:effectExtent b="0" l="0" r="0" t="0"/>
            <wp:docPr id="25" name="image8.png"/>
            <a:graphic>
              <a:graphicData uri="http://schemas.openxmlformats.org/drawingml/2006/picture">
                <pic:pic>
                  <pic:nvPicPr>
                    <pic:cNvPr id="0" name="image8.png"/>
                    <pic:cNvPicPr preferRelativeResize="0"/>
                  </pic:nvPicPr>
                  <pic:blipFill>
                    <a:blip r:embed="rId24"/>
                    <a:srcRect b="0" l="0" r="0" t="0"/>
                    <a:stretch>
                      <a:fillRect/>
                    </a:stretch>
                  </pic:blipFill>
                  <pic:spPr>
                    <a:xfrm>
                      <a:off x="0" y="0"/>
                      <a:ext cx="5004322" cy="3049229"/>
                    </a:xfrm>
                    <a:prstGeom prst="rect"/>
                    <a:ln/>
                  </pic:spPr>
                </pic:pic>
              </a:graphicData>
            </a:graphic>
          </wp:inline>
        </w:drawing>
      </w:r>
      <w:r w:rsidDel="00000000" w:rsidR="00000000" w:rsidRPr="00000000">
        <w:rPr>
          <w:rtl w:val="0"/>
        </w:rPr>
      </w:r>
    </w:p>
    <w:p w:rsidR="00000000" w:rsidDel="00000000" w:rsidP="00000000" w:rsidRDefault="00000000" w:rsidRPr="00000000" w14:paraId="0000011D">
      <w:pPr>
        <w:spacing w:line="235" w:lineRule="auto"/>
        <w:jc w:val="both"/>
        <w:rPr>
          <w:rFonts w:ascii="Garamond" w:cs="Garamond" w:eastAsia="Garamond" w:hAnsi="Garamond"/>
        </w:rPr>
      </w:pPr>
      <w:r w:rsidDel="00000000" w:rsidR="00000000" w:rsidRPr="00000000">
        <w:rPr>
          <w:rtl w:val="0"/>
        </w:rPr>
      </w:r>
    </w:p>
    <w:p w:rsidR="00000000" w:rsidDel="00000000" w:rsidP="00000000" w:rsidRDefault="00000000" w:rsidRPr="00000000" w14:paraId="0000011E">
      <w:pPr>
        <w:jc w:val="center"/>
        <w:rPr>
          <w:rFonts w:ascii="Garamond" w:cs="Garamond" w:eastAsia="Garamond" w:hAnsi="Garamond"/>
          <w:sz w:val="27"/>
          <w:szCs w:val="27"/>
        </w:rPr>
      </w:pPr>
      <w:r w:rsidDel="00000000" w:rsidR="00000000" w:rsidRPr="00000000">
        <w:rPr>
          <w:rFonts w:ascii="Garamond" w:cs="Garamond" w:eastAsia="Garamond" w:hAnsi="Garamond"/>
          <w:sz w:val="16"/>
          <w:szCs w:val="16"/>
          <w:rtl w:val="0"/>
        </w:rPr>
        <w:t xml:space="preserve">Fuente: DANE - Boletín Técnico Gran Encuesta Integrada de Hogares (GEIH) Febrero 2026</w:t>
      </w:r>
      <w:r w:rsidDel="00000000" w:rsidR="00000000" w:rsidRPr="00000000">
        <w:rPr>
          <w:rtl w:val="0"/>
        </w:rPr>
      </w:r>
    </w:p>
    <w:p w:rsidR="00000000" w:rsidDel="00000000" w:rsidP="00000000" w:rsidRDefault="00000000" w:rsidRPr="00000000" w14:paraId="000001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0" w:right="0" w:firstLine="0"/>
        <w:jc w:val="left"/>
        <w:rPr>
          <w:rFonts w:ascii="Garamond" w:cs="Garamond" w:eastAsia="Garamond" w:hAnsi="Garamond"/>
          <w:b w:val="0"/>
          <w:bCs w:val="0"/>
          <w:i w:val="0"/>
          <w:iCs w:val="0"/>
          <w:smallCaps w:val="0"/>
          <w:strike w:val="0"/>
          <w:color w:val="000000"/>
          <w:sz w:val="23"/>
          <w:szCs w:val="23"/>
          <w:u w:val="none"/>
          <w:shd w:fill="auto" w:val="clear"/>
          <w:vertAlign w:val="baseline"/>
        </w:rPr>
      </w:pPr>
      <w:r w:rsidDel="00000000" w:rsidR="00000000" w:rsidRPr="00000000">
        <w:rPr>
          <w:rtl w:val="0"/>
        </w:rPr>
      </w:r>
    </w:p>
    <w:p w:rsidR="00000000" w:rsidDel="00000000" w:rsidP="00000000" w:rsidRDefault="00000000" w:rsidRPr="00000000" w14:paraId="000001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 w:lineRule="auto"/>
        <w:ind w:left="118" w:right="133" w:firstLine="0"/>
        <w:jc w:val="both"/>
        <w:rPr>
          <w:rFonts w:ascii="Garamond" w:cs="Garamond" w:eastAsia="Garamond" w:hAnsi="Garamond"/>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1"/>
          <w:bCs w:val="1"/>
          <w:i w:val="0"/>
          <w:iCs w:val="0"/>
          <w:smallCaps w:val="0"/>
          <w:strike w:val="0"/>
          <w:color w:val="000000"/>
          <w:sz w:val="24"/>
          <w:szCs w:val="24"/>
          <w:u w:val="none"/>
          <w:shd w:fill="auto" w:val="clear"/>
          <w:vertAlign w:val="baseline"/>
          <w:rtl w:val="0"/>
        </w:rPr>
        <w:t xml:space="preserve">Población ocupada según rama de actividad:</w:t>
      </w: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Garamond" w:cs="Garamond" w:eastAsia="Garamond" w:hAnsi="Garamond"/>
          <w:sz w:val="24"/>
          <w:szCs w:val="24"/>
          <w:rtl w:val="0"/>
        </w:rPr>
        <w:t xml:space="preserve">En el mes de febrero de 2026, el número de personas ocupadas en el total nacional fue 24.094 miles de personas. Las ramas que más aportaron positivamente a la variación de la población ocupada fueron Actividades profesionales, científicas, técnicas y servicios administrativos (1,1 puntos porcentuales); Administración pública y defensa, educación y atención de la salud humana (1,0 puntos porcentuales) y Actividades artísticas, entretenimiento, recreación y otras actividades de servicios (0,8 puntos porcentuales). </w:t>
      </w:r>
      <w:r w:rsidDel="00000000" w:rsidR="00000000" w:rsidRPr="00000000">
        <w:rPr>
          <w:rtl w:val="0"/>
        </w:rPr>
      </w:r>
    </w:p>
    <w:p w:rsidR="00000000" w:rsidDel="00000000" w:rsidP="00000000" w:rsidRDefault="00000000" w:rsidRPr="00000000" w14:paraId="000001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center"/>
        <w:rPr>
          <w:rFonts w:ascii="Garamond" w:cs="Garamond" w:eastAsia="Garamond" w:hAnsi="Garamond"/>
          <w:b w:val="0"/>
          <w:bCs w:val="0"/>
          <w:i w:val="0"/>
          <w:iCs w:val="0"/>
          <w:smallCaps w:val="0"/>
          <w:strike w:val="0"/>
          <w:color w:val="000000"/>
          <w:sz w:val="28"/>
          <w:szCs w:val="28"/>
          <w:u w:val="none"/>
          <w:shd w:fill="auto" w:val="clear"/>
          <w:vertAlign w:val="baseline"/>
        </w:rPr>
      </w:pPr>
      <w:r w:rsidDel="00000000" w:rsidR="00000000" w:rsidRPr="00000000">
        <w:rPr>
          <w:rFonts w:ascii="Garamond" w:cs="Garamond" w:eastAsia="Garamond" w:hAnsi="Garamond"/>
          <w:sz w:val="28"/>
          <w:szCs w:val="28"/>
        </w:rPr>
        <w:drawing>
          <wp:inline distB="114300" distT="114300" distL="114300" distR="114300">
            <wp:extent cx="4884974" cy="2433638"/>
            <wp:effectExtent b="0" l="0" r="0" t="0"/>
            <wp:docPr id="14" name="image19.png"/>
            <a:graphic>
              <a:graphicData uri="http://schemas.openxmlformats.org/drawingml/2006/picture">
                <pic:pic>
                  <pic:nvPicPr>
                    <pic:cNvPr id="0" name="image19.png"/>
                    <pic:cNvPicPr preferRelativeResize="0"/>
                  </pic:nvPicPr>
                  <pic:blipFill>
                    <a:blip r:embed="rId25"/>
                    <a:srcRect b="0" l="0" r="0" t="0"/>
                    <a:stretch>
                      <a:fillRect/>
                    </a:stretch>
                  </pic:blipFill>
                  <pic:spPr>
                    <a:xfrm>
                      <a:off x="0" y="0"/>
                      <a:ext cx="4884974" cy="2433638"/>
                    </a:xfrm>
                    <a:prstGeom prst="rect"/>
                    <a:ln/>
                  </pic:spPr>
                </pic:pic>
              </a:graphicData>
            </a:graphic>
          </wp:inline>
        </w:drawing>
      </w:r>
      <w:r w:rsidDel="00000000" w:rsidR="00000000" w:rsidRPr="00000000">
        <w:rPr>
          <w:rtl w:val="0"/>
        </w:rPr>
      </w:r>
    </w:p>
    <w:p w:rsidR="00000000" w:rsidDel="00000000" w:rsidP="00000000" w:rsidRDefault="00000000" w:rsidRPr="00000000" w14:paraId="000001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0" w:right="0" w:firstLine="0"/>
        <w:jc w:val="left"/>
        <w:rPr>
          <w:rFonts w:ascii="Garamond" w:cs="Garamond" w:eastAsia="Garamond" w:hAnsi="Garamond"/>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23">
      <w:pPr>
        <w:jc w:val="center"/>
        <w:rPr>
          <w:rFonts w:ascii="Garamond" w:cs="Garamond" w:eastAsia="Garamond" w:hAnsi="Garamond"/>
          <w:sz w:val="16"/>
          <w:szCs w:val="16"/>
        </w:rPr>
      </w:pPr>
      <w:r w:rsidDel="00000000" w:rsidR="00000000" w:rsidRPr="00000000">
        <w:rPr>
          <w:rFonts w:ascii="Garamond" w:cs="Garamond" w:eastAsia="Garamond" w:hAnsi="Garamond"/>
          <w:sz w:val="16"/>
          <w:szCs w:val="16"/>
          <w:rtl w:val="0"/>
        </w:rPr>
        <w:t xml:space="preserve">Fuente: DANE – Boletín técnico Gran Encuesta Integrada de Hogares (GEIH) Febrero 2026</w:t>
      </w:r>
      <w:r w:rsidDel="00000000" w:rsidR="00000000" w:rsidRPr="00000000">
        <w:rPr>
          <w:rFonts w:ascii="Garamond" w:cs="Garamond" w:eastAsia="Garamond" w:hAnsi="Garamond"/>
          <w:sz w:val="16"/>
          <w:szCs w:val="16"/>
          <w:rtl w:val="0"/>
        </w:rPr>
        <w:t xml:space="preserve">.</w:t>
      </w:r>
    </w:p>
    <w:p w:rsidR="00000000" w:rsidDel="00000000" w:rsidP="00000000" w:rsidRDefault="00000000" w:rsidRPr="00000000" w14:paraId="000001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0" w:right="0" w:firstLine="0"/>
        <w:jc w:val="left"/>
        <w:rPr>
          <w:rFonts w:ascii="Garamond" w:cs="Garamond" w:eastAsia="Garamond" w:hAnsi="Garamond"/>
          <w:b w:val="0"/>
          <w:bCs w:val="0"/>
          <w:i w:val="0"/>
          <w:iCs w:val="0"/>
          <w:smallCaps w:val="0"/>
          <w:strike w:val="0"/>
          <w:color w:val="000000"/>
          <w:sz w:val="23"/>
          <w:szCs w:val="23"/>
          <w:u w:val="none"/>
          <w:shd w:fill="auto" w:val="clear"/>
          <w:vertAlign w:val="baseline"/>
        </w:rPr>
      </w:pPr>
      <w:r w:rsidDel="00000000" w:rsidR="00000000" w:rsidRPr="00000000">
        <w:rPr>
          <w:rtl w:val="0"/>
        </w:rPr>
      </w:r>
    </w:p>
    <w:p w:rsidR="00000000" w:rsidDel="00000000" w:rsidP="00000000" w:rsidRDefault="00000000" w:rsidRPr="00000000" w14:paraId="00000125">
      <w:pPr>
        <w:spacing w:line="235" w:lineRule="auto"/>
        <w:ind w:left="118" w:right="140" w:firstLine="0"/>
        <w:jc w:val="both"/>
        <w:rPr>
          <w:rFonts w:ascii="Garamond" w:cs="Garamond" w:eastAsia="Garamond" w:hAnsi="Garamond"/>
          <w:sz w:val="24"/>
          <w:szCs w:val="24"/>
        </w:rPr>
      </w:pPr>
      <w:r w:rsidDel="00000000" w:rsidR="00000000" w:rsidRPr="00000000">
        <w:rPr>
          <w:rFonts w:ascii="Garamond" w:cs="Garamond" w:eastAsia="Garamond" w:hAnsi="Garamond"/>
          <w:b w:val="1"/>
          <w:bCs w:val="1"/>
          <w:sz w:val="24"/>
          <w:szCs w:val="24"/>
          <w:rtl w:val="0"/>
        </w:rPr>
        <w:t xml:space="preserve">Población ocupada según posición ocupacional:</w:t>
      </w:r>
      <w:r w:rsidDel="00000000" w:rsidR="00000000" w:rsidRPr="00000000">
        <w:rPr>
          <w:rFonts w:ascii="Garamond" w:cs="Garamond" w:eastAsia="Garamond" w:hAnsi="Garamond"/>
          <w:sz w:val="24"/>
          <w:szCs w:val="24"/>
          <w:rtl w:val="0"/>
        </w:rPr>
        <w:t xml:space="preserve"> En febrero de 2026, Obrero, empleado particular y Patrón o empleador fueron las posiciones ocupacionales que más aportaron positivamente a la variación de los ocupados en el total nacional con 2,3 y 0,4 puntos porcentuales, respectivamente. </w:t>
      </w:r>
    </w:p>
    <w:p w:rsidR="00000000" w:rsidDel="00000000" w:rsidP="00000000" w:rsidRDefault="00000000" w:rsidRPr="00000000" w14:paraId="000001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sz w:val="20"/>
          <w:szCs w:val="20"/>
        </w:rPr>
        <w:drawing>
          <wp:inline distB="114300" distT="114300" distL="114300" distR="114300">
            <wp:extent cx="6018213" cy="3038475"/>
            <wp:effectExtent b="0" l="0" r="0" t="0"/>
            <wp:docPr id="10" name="image21.png"/>
            <a:graphic>
              <a:graphicData uri="http://schemas.openxmlformats.org/drawingml/2006/picture">
                <pic:pic>
                  <pic:nvPicPr>
                    <pic:cNvPr id="0" name="image21.png"/>
                    <pic:cNvPicPr preferRelativeResize="0"/>
                  </pic:nvPicPr>
                  <pic:blipFill>
                    <a:blip r:embed="rId26"/>
                    <a:srcRect b="0" l="0" r="0" t="0"/>
                    <a:stretch>
                      <a:fillRect/>
                    </a:stretch>
                  </pic:blipFill>
                  <pic:spPr>
                    <a:xfrm>
                      <a:off x="0" y="0"/>
                      <a:ext cx="6018213" cy="3038475"/>
                    </a:xfrm>
                    <a:prstGeom prst="rect"/>
                    <a:ln/>
                  </pic:spPr>
                </pic:pic>
              </a:graphicData>
            </a:graphic>
          </wp:inline>
        </w:drawing>
      </w:r>
      <w:r w:rsidDel="00000000" w:rsidR="00000000" w:rsidRPr="00000000">
        <w:rPr>
          <w:rtl w:val="0"/>
        </w:rPr>
      </w:r>
    </w:p>
    <w:p w:rsidR="00000000" w:rsidDel="00000000" w:rsidP="00000000" w:rsidRDefault="00000000" w:rsidRPr="00000000" w14:paraId="000001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center"/>
        <w:rPr>
          <w:rFonts w:ascii="Garamond" w:cs="Garamond" w:eastAsia="Garamond" w:hAnsi="Garamond"/>
          <w:b w:val="0"/>
          <w:bCs w:val="0"/>
          <w:i w:val="0"/>
          <w:iCs w:val="0"/>
          <w:smallCaps w:val="0"/>
          <w:strike w:val="0"/>
          <w:color w:val="000000"/>
          <w:sz w:val="12"/>
          <w:szCs w:val="12"/>
          <w:u w:val="none"/>
          <w:shd w:fill="auto" w:val="clear"/>
          <w:vertAlign w:val="baseline"/>
        </w:rPr>
      </w:pPr>
      <w:r w:rsidDel="00000000" w:rsidR="00000000" w:rsidRPr="00000000">
        <w:rPr>
          <w:rtl w:val="0"/>
        </w:rPr>
      </w:r>
    </w:p>
    <w:p w:rsidR="00000000" w:rsidDel="00000000" w:rsidP="00000000" w:rsidRDefault="00000000" w:rsidRPr="00000000" w14:paraId="000001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0" w:lineRule="auto"/>
        <w:ind w:left="0" w:right="0" w:firstLine="0"/>
        <w:jc w:val="left"/>
        <w:rPr>
          <w:rFonts w:ascii="Garamond" w:cs="Garamond" w:eastAsia="Garamond" w:hAnsi="Garamond"/>
          <w:b w:val="0"/>
          <w:bCs w:val="0"/>
          <w:i w:val="0"/>
          <w:iCs w:val="0"/>
          <w:smallCaps w:val="0"/>
          <w:strike w:val="0"/>
          <w:color w:val="000000"/>
          <w:sz w:val="26"/>
          <w:szCs w:val="26"/>
          <w:u w:val="none"/>
          <w:shd w:fill="auto" w:val="clear"/>
          <w:vertAlign w:val="baseline"/>
        </w:rPr>
      </w:pPr>
      <w:r w:rsidDel="00000000" w:rsidR="00000000" w:rsidRPr="00000000">
        <w:rPr>
          <w:rFonts w:ascii="Garamond" w:cs="Garamond" w:eastAsia="Garamond" w:hAnsi="Garamond"/>
          <w:sz w:val="26"/>
          <w:szCs w:val="26"/>
          <w:rtl w:val="0"/>
        </w:rPr>
        <w:t xml:space="preserve">.</w:t>
      </w:r>
      <w:r w:rsidDel="00000000" w:rsidR="00000000" w:rsidRPr="00000000">
        <w:rPr>
          <w:rtl w:val="0"/>
        </w:rPr>
      </w:r>
    </w:p>
    <w:p w:rsidR="00000000" w:rsidDel="00000000" w:rsidP="00000000" w:rsidRDefault="00000000" w:rsidRPr="00000000" w14:paraId="00000129">
      <w:pPr>
        <w:jc w:val="center"/>
        <w:rPr>
          <w:rFonts w:ascii="Garamond" w:cs="Garamond" w:eastAsia="Garamond" w:hAnsi="Garamond"/>
          <w:sz w:val="16"/>
          <w:szCs w:val="16"/>
        </w:rPr>
      </w:pPr>
      <w:r w:rsidDel="00000000" w:rsidR="00000000" w:rsidRPr="00000000">
        <w:rPr>
          <w:rFonts w:ascii="Garamond" w:cs="Garamond" w:eastAsia="Garamond" w:hAnsi="Garamond"/>
          <w:sz w:val="16"/>
          <w:szCs w:val="16"/>
          <w:rtl w:val="0"/>
        </w:rPr>
        <w:t xml:space="preserve">Fuente: DANE – Boletín técnico Gran Encuesta Integrada de Hogares (GEIH) Febrero 2026</w:t>
      </w:r>
      <w:r w:rsidDel="00000000" w:rsidR="00000000" w:rsidRPr="00000000">
        <w:rPr>
          <w:rFonts w:ascii="Garamond" w:cs="Garamond" w:eastAsia="Garamond" w:hAnsi="Garamond"/>
          <w:sz w:val="16"/>
          <w:szCs w:val="16"/>
          <w:rtl w:val="0"/>
        </w:rPr>
        <w:t xml:space="preserve">.</w:t>
      </w:r>
    </w:p>
    <w:p w:rsidR="00000000" w:rsidDel="00000000" w:rsidP="00000000" w:rsidRDefault="00000000" w:rsidRPr="00000000" w14:paraId="000001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0"/>
          <w:bCs w:val="0"/>
          <w:i w:val="0"/>
          <w:iCs w:val="0"/>
          <w:smallCaps w:val="0"/>
          <w:strike w:val="0"/>
          <w:color w:val="000000"/>
          <w:sz w:val="23"/>
          <w:szCs w:val="23"/>
          <w:u w:val="none"/>
          <w:shd w:fill="auto" w:val="clear"/>
          <w:vertAlign w:val="baseline"/>
        </w:rPr>
      </w:pPr>
      <w:r w:rsidDel="00000000" w:rsidR="00000000" w:rsidRPr="00000000">
        <w:rPr>
          <w:rtl w:val="0"/>
        </w:rPr>
      </w:r>
    </w:p>
    <w:p w:rsidR="00000000" w:rsidDel="00000000" w:rsidP="00000000" w:rsidRDefault="00000000" w:rsidRPr="00000000" w14:paraId="0000012B">
      <w:pPr>
        <w:pStyle w:val="Heading3"/>
        <w:numPr>
          <w:ilvl w:val="2"/>
          <w:numId w:val="9"/>
        </w:numPr>
        <w:spacing w:before="0" w:lineRule="auto"/>
        <w:ind w:left="838" w:hanging="720"/>
        <w:rPr>
          <w:rFonts w:ascii="Garamond" w:cs="Garamond" w:eastAsia="Garamond" w:hAnsi="Garamond"/>
          <w:b w:val="1"/>
          <w:bCs w:val="1"/>
          <w:color w:val="000000"/>
        </w:rPr>
      </w:pPr>
      <w:r w:rsidDel="00000000" w:rsidR="00000000" w:rsidRPr="00000000">
        <w:rPr>
          <w:rFonts w:ascii="Garamond" w:cs="Garamond" w:eastAsia="Garamond" w:hAnsi="Garamond"/>
          <w:b w:val="1"/>
          <w:bCs w:val="1"/>
          <w:color w:val="000000"/>
          <w:rtl w:val="0"/>
        </w:rPr>
        <w:t xml:space="preserve">Inflación</w:t>
      </w:r>
    </w:p>
    <w:p w:rsidR="00000000" w:rsidDel="00000000" w:rsidP="00000000" w:rsidRDefault="00000000" w:rsidRPr="00000000" w14:paraId="000001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Garamond" w:cs="Garamond" w:eastAsia="Garamond" w:hAnsi="Garamond"/>
          <w:b w:val="1"/>
          <w:bCs w:val="1"/>
          <w:i w:val="0"/>
          <w:iCs w:val="0"/>
          <w:smallCaps w:val="0"/>
          <w:strike w:val="0"/>
          <w:color w:val="000000"/>
          <w:sz w:val="23"/>
          <w:szCs w:val="23"/>
          <w:u w:val="none"/>
          <w:shd w:fill="auto" w:val="clear"/>
          <w:vertAlign w:val="baseline"/>
        </w:rPr>
      </w:pPr>
      <w:r w:rsidDel="00000000" w:rsidR="00000000" w:rsidRPr="00000000">
        <w:rPr>
          <w:rtl w:val="0"/>
        </w:rPr>
      </w:r>
    </w:p>
    <w:p w:rsidR="00000000" w:rsidDel="00000000" w:rsidP="00000000" w:rsidRDefault="00000000" w:rsidRPr="00000000" w14:paraId="000001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 w:lineRule="auto"/>
        <w:ind w:left="118" w:right="132"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sz w:val="24"/>
          <w:szCs w:val="24"/>
          <w:rtl w:val="0"/>
        </w:rPr>
        <w:t xml:space="preserve">La inflación es importante en cuanto a la ponderación del costo total, ya que afecta directamente las fórmulas que establecen las aseguradoras para cálculo de pago de pólizas y también tiene incidencia en el costo de administración que cobra la empresa afiliadora, lo que suma un porcentaje adicional al costo total. Así mismo, la inflación no se puede desligar de la negociación de los salarios, toda vez que estos no siempre son proporcionales a lo exigido por la ley, sino que también dependen del comportamiento del mercado, de la oferta y la demanda, y del poder adquisitivo del salario para cubrir bienes y servicios básicos de la canasta familiar. </w:t>
      </w:r>
      <w:r w:rsidDel="00000000" w:rsidR="00000000" w:rsidRPr="00000000">
        <w:rPr>
          <w:rtl w:val="0"/>
        </w:rPr>
      </w:r>
    </w:p>
    <w:p w:rsidR="00000000" w:rsidDel="00000000" w:rsidP="00000000" w:rsidRDefault="00000000" w:rsidRPr="00000000" w14:paraId="000001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left"/>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tbl>
      <w:tblPr>
        <w:tblStyle w:val="Table5"/>
        <w:tblW w:w="9945.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90"/>
        <w:gridCol w:w="870"/>
        <w:gridCol w:w="870"/>
        <w:gridCol w:w="870"/>
        <w:gridCol w:w="870"/>
        <w:gridCol w:w="870"/>
        <w:gridCol w:w="870"/>
        <w:gridCol w:w="870"/>
        <w:gridCol w:w="870"/>
        <w:gridCol w:w="870"/>
        <w:gridCol w:w="1125"/>
        <w:tblGridChange w:id="0">
          <w:tblGrid>
            <w:gridCol w:w="990"/>
            <w:gridCol w:w="870"/>
            <w:gridCol w:w="870"/>
            <w:gridCol w:w="870"/>
            <w:gridCol w:w="870"/>
            <w:gridCol w:w="870"/>
            <w:gridCol w:w="870"/>
            <w:gridCol w:w="870"/>
            <w:gridCol w:w="870"/>
            <w:gridCol w:w="870"/>
            <w:gridCol w:w="1125"/>
          </w:tblGrid>
        </w:tblGridChange>
      </w:tblGrid>
      <w:tr>
        <w:trPr>
          <w:cantSplit w:val="0"/>
          <w:trHeight w:val="131" w:hRule="atLeast"/>
          <w:tblHeader w:val="0"/>
        </w:trPr>
        <w:tc>
          <w:tcPr/>
          <w:p w:rsidR="00000000" w:rsidDel="00000000" w:rsidP="00000000" w:rsidRDefault="00000000" w:rsidRPr="00000000" w14:paraId="0000012F">
            <w:pPr>
              <w:jc w:val="center"/>
              <w:rPr>
                <w:rFonts w:ascii="Garamond" w:cs="Garamond" w:eastAsia="Garamond" w:hAnsi="Garamond"/>
                <w:sz w:val="21"/>
                <w:szCs w:val="21"/>
              </w:rPr>
            </w:pPr>
            <w:r w:rsidDel="00000000" w:rsidR="00000000" w:rsidRPr="00000000">
              <w:rPr>
                <w:rFonts w:ascii="Garamond" w:cs="Garamond" w:eastAsia="Garamond" w:hAnsi="Garamond"/>
                <w:b w:val="1"/>
                <w:bCs w:val="1"/>
                <w:sz w:val="21"/>
                <w:szCs w:val="21"/>
                <w:rtl w:val="0"/>
              </w:rPr>
              <w:t xml:space="preserve">Año</w:t>
            </w:r>
            <w:r w:rsidDel="00000000" w:rsidR="00000000" w:rsidRPr="00000000">
              <w:rPr>
                <w:rtl w:val="0"/>
              </w:rPr>
            </w:r>
          </w:p>
        </w:tc>
        <w:tc>
          <w:tcPr/>
          <w:p w:rsidR="00000000" w:rsidDel="00000000" w:rsidP="00000000" w:rsidRDefault="00000000" w:rsidRPr="00000000" w14:paraId="00000130">
            <w:pPr>
              <w:jc w:val="center"/>
              <w:rPr>
                <w:rFonts w:ascii="Garamond" w:cs="Garamond" w:eastAsia="Garamond" w:hAnsi="Garamond"/>
                <w:sz w:val="21"/>
                <w:szCs w:val="21"/>
              </w:rPr>
            </w:pPr>
            <w:r w:rsidDel="00000000" w:rsidR="00000000" w:rsidRPr="00000000">
              <w:rPr>
                <w:rFonts w:ascii="Garamond" w:cs="Garamond" w:eastAsia="Garamond" w:hAnsi="Garamond"/>
                <w:b w:val="1"/>
                <w:bCs w:val="1"/>
                <w:sz w:val="21"/>
                <w:szCs w:val="21"/>
                <w:rtl w:val="0"/>
              </w:rPr>
              <w:t xml:space="preserve">2016</w:t>
            </w:r>
            <w:r w:rsidDel="00000000" w:rsidR="00000000" w:rsidRPr="00000000">
              <w:rPr>
                <w:rtl w:val="0"/>
              </w:rPr>
            </w:r>
          </w:p>
        </w:tc>
        <w:tc>
          <w:tcPr/>
          <w:p w:rsidR="00000000" w:rsidDel="00000000" w:rsidP="00000000" w:rsidRDefault="00000000" w:rsidRPr="00000000" w14:paraId="00000131">
            <w:pPr>
              <w:jc w:val="center"/>
              <w:rPr>
                <w:rFonts w:ascii="Garamond" w:cs="Garamond" w:eastAsia="Garamond" w:hAnsi="Garamond"/>
                <w:sz w:val="21"/>
                <w:szCs w:val="21"/>
              </w:rPr>
            </w:pPr>
            <w:r w:rsidDel="00000000" w:rsidR="00000000" w:rsidRPr="00000000">
              <w:rPr>
                <w:rFonts w:ascii="Garamond" w:cs="Garamond" w:eastAsia="Garamond" w:hAnsi="Garamond"/>
                <w:b w:val="1"/>
                <w:bCs w:val="1"/>
                <w:sz w:val="21"/>
                <w:szCs w:val="21"/>
                <w:rtl w:val="0"/>
              </w:rPr>
              <w:t xml:space="preserve">2017</w:t>
            </w:r>
            <w:r w:rsidDel="00000000" w:rsidR="00000000" w:rsidRPr="00000000">
              <w:rPr>
                <w:rtl w:val="0"/>
              </w:rPr>
            </w:r>
          </w:p>
        </w:tc>
        <w:tc>
          <w:tcPr/>
          <w:p w:rsidR="00000000" w:rsidDel="00000000" w:rsidP="00000000" w:rsidRDefault="00000000" w:rsidRPr="00000000" w14:paraId="00000132">
            <w:pPr>
              <w:jc w:val="center"/>
              <w:rPr>
                <w:rFonts w:ascii="Garamond" w:cs="Garamond" w:eastAsia="Garamond" w:hAnsi="Garamond"/>
                <w:sz w:val="21"/>
                <w:szCs w:val="21"/>
              </w:rPr>
            </w:pPr>
            <w:r w:rsidDel="00000000" w:rsidR="00000000" w:rsidRPr="00000000">
              <w:rPr>
                <w:rFonts w:ascii="Garamond" w:cs="Garamond" w:eastAsia="Garamond" w:hAnsi="Garamond"/>
                <w:b w:val="1"/>
                <w:bCs w:val="1"/>
                <w:sz w:val="21"/>
                <w:szCs w:val="21"/>
                <w:rtl w:val="0"/>
              </w:rPr>
              <w:t xml:space="preserve">2018</w:t>
            </w:r>
            <w:r w:rsidDel="00000000" w:rsidR="00000000" w:rsidRPr="00000000">
              <w:rPr>
                <w:rtl w:val="0"/>
              </w:rPr>
            </w:r>
          </w:p>
        </w:tc>
        <w:tc>
          <w:tcPr/>
          <w:p w:rsidR="00000000" w:rsidDel="00000000" w:rsidP="00000000" w:rsidRDefault="00000000" w:rsidRPr="00000000" w14:paraId="00000133">
            <w:pPr>
              <w:jc w:val="center"/>
              <w:rPr>
                <w:rFonts w:ascii="Garamond" w:cs="Garamond" w:eastAsia="Garamond" w:hAnsi="Garamond"/>
                <w:sz w:val="21"/>
                <w:szCs w:val="21"/>
              </w:rPr>
            </w:pPr>
            <w:r w:rsidDel="00000000" w:rsidR="00000000" w:rsidRPr="00000000">
              <w:rPr>
                <w:rFonts w:ascii="Garamond" w:cs="Garamond" w:eastAsia="Garamond" w:hAnsi="Garamond"/>
                <w:b w:val="1"/>
                <w:bCs w:val="1"/>
                <w:sz w:val="21"/>
                <w:szCs w:val="21"/>
                <w:rtl w:val="0"/>
              </w:rPr>
              <w:t xml:space="preserve">2019</w:t>
            </w:r>
            <w:r w:rsidDel="00000000" w:rsidR="00000000" w:rsidRPr="00000000">
              <w:rPr>
                <w:rtl w:val="0"/>
              </w:rPr>
            </w:r>
          </w:p>
        </w:tc>
        <w:tc>
          <w:tcPr/>
          <w:p w:rsidR="00000000" w:rsidDel="00000000" w:rsidP="00000000" w:rsidRDefault="00000000" w:rsidRPr="00000000" w14:paraId="00000134">
            <w:pPr>
              <w:jc w:val="center"/>
              <w:rPr>
                <w:rFonts w:ascii="Garamond" w:cs="Garamond" w:eastAsia="Garamond" w:hAnsi="Garamond"/>
                <w:sz w:val="21"/>
                <w:szCs w:val="21"/>
              </w:rPr>
            </w:pPr>
            <w:r w:rsidDel="00000000" w:rsidR="00000000" w:rsidRPr="00000000">
              <w:rPr>
                <w:rFonts w:ascii="Garamond" w:cs="Garamond" w:eastAsia="Garamond" w:hAnsi="Garamond"/>
                <w:b w:val="1"/>
                <w:bCs w:val="1"/>
                <w:sz w:val="21"/>
                <w:szCs w:val="21"/>
                <w:rtl w:val="0"/>
              </w:rPr>
              <w:t xml:space="preserve">2020</w:t>
            </w:r>
            <w:r w:rsidDel="00000000" w:rsidR="00000000" w:rsidRPr="00000000">
              <w:rPr>
                <w:rtl w:val="0"/>
              </w:rPr>
            </w:r>
          </w:p>
        </w:tc>
        <w:tc>
          <w:tcPr/>
          <w:p w:rsidR="00000000" w:rsidDel="00000000" w:rsidP="00000000" w:rsidRDefault="00000000" w:rsidRPr="00000000" w14:paraId="00000135">
            <w:pPr>
              <w:jc w:val="center"/>
              <w:rPr>
                <w:rFonts w:ascii="Garamond" w:cs="Garamond" w:eastAsia="Garamond" w:hAnsi="Garamond"/>
                <w:b w:val="1"/>
                <w:bCs w:val="1"/>
                <w:sz w:val="21"/>
                <w:szCs w:val="21"/>
              </w:rPr>
            </w:pPr>
            <w:r w:rsidDel="00000000" w:rsidR="00000000" w:rsidRPr="00000000">
              <w:rPr>
                <w:rFonts w:ascii="Garamond" w:cs="Garamond" w:eastAsia="Garamond" w:hAnsi="Garamond"/>
                <w:b w:val="1"/>
                <w:bCs w:val="1"/>
                <w:sz w:val="21"/>
                <w:szCs w:val="21"/>
                <w:rtl w:val="0"/>
              </w:rPr>
              <w:t xml:space="preserve">2021</w:t>
            </w:r>
          </w:p>
        </w:tc>
        <w:tc>
          <w:tcPr/>
          <w:p w:rsidR="00000000" w:rsidDel="00000000" w:rsidP="00000000" w:rsidRDefault="00000000" w:rsidRPr="00000000" w14:paraId="00000136">
            <w:pPr>
              <w:jc w:val="center"/>
              <w:rPr>
                <w:rFonts w:ascii="Garamond" w:cs="Garamond" w:eastAsia="Garamond" w:hAnsi="Garamond"/>
                <w:b w:val="1"/>
                <w:bCs w:val="1"/>
                <w:sz w:val="21"/>
                <w:szCs w:val="21"/>
              </w:rPr>
            </w:pPr>
            <w:r w:rsidDel="00000000" w:rsidR="00000000" w:rsidRPr="00000000">
              <w:rPr>
                <w:rFonts w:ascii="Garamond" w:cs="Garamond" w:eastAsia="Garamond" w:hAnsi="Garamond"/>
                <w:b w:val="1"/>
                <w:bCs w:val="1"/>
                <w:sz w:val="21"/>
                <w:szCs w:val="21"/>
                <w:rtl w:val="0"/>
              </w:rPr>
              <w:t xml:space="preserve">2022 </w:t>
            </w:r>
          </w:p>
        </w:tc>
        <w:tc>
          <w:tcPr/>
          <w:p w:rsidR="00000000" w:rsidDel="00000000" w:rsidP="00000000" w:rsidRDefault="00000000" w:rsidRPr="00000000" w14:paraId="00000137">
            <w:pPr>
              <w:jc w:val="center"/>
              <w:rPr>
                <w:rFonts w:ascii="Garamond" w:cs="Garamond" w:eastAsia="Garamond" w:hAnsi="Garamond"/>
                <w:b w:val="1"/>
                <w:bCs w:val="1"/>
                <w:sz w:val="21"/>
                <w:szCs w:val="21"/>
              </w:rPr>
            </w:pPr>
            <w:r w:rsidDel="00000000" w:rsidR="00000000" w:rsidRPr="00000000">
              <w:rPr>
                <w:rFonts w:ascii="Garamond" w:cs="Garamond" w:eastAsia="Garamond" w:hAnsi="Garamond"/>
                <w:b w:val="1"/>
                <w:bCs w:val="1"/>
                <w:sz w:val="21"/>
                <w:szCs w:val="21"/>
                <w:rtl w:val="0"/>
              </w:rPr>
              <w:t xml:space="preserve">2023 </w:t>
            </w:r>
          </w:p>
        </w:tc>
        <w:tc>
          <w:tcPr/>
          <w:p w:rsidR="00000000" w:rsidDel="00000000" w:rsidP="00000000" w:rsidRDefault="00000000" w:rsidRPr="00000000" w14:paraId="00000138">
            <w:pPr>
              <w:jc w:val="center"/>
              <w:rPr>
                <w:rFonts w:ascii="Garamond" w:cs="Garamond" w:eastAsia="Garamond" w:hAnsi="Garamond"/>
                <w:b w:val="1"/>
                <w:bCs w:val="1"/>
                <w:sz w:val="21"/>
                <w:szCs w:val="21"/>
              </w:rPr>
            </w:pPr>
            <w:r w:rsidDel="00000000" w:rsidR="00000000" w:rsidRPr="00000000">
              <w:rPr>
                <w:rFonts w:ascii="Garamond" w:cs="Garamond" w:eastAsia="Garamond" w:hAnsi="Garamond"/>
                <w:b w:val="1"/>
                <w:bCs w:val="1"/>
                <w:sz w:val="21"/>
                <w:szCs w:val="21"/>
                <w:rtl w:val="0"/>
              </w:rPr>
              <w:t xml:space="preserve">2024 real</w:t>
            </w:r>
          </w:p>
        </w:tc>
        <w:tc>
          <w:tcPr/>
          <w:p w:rsidR="00000000" w:rsidDel="00000000" w:rsidP="00000000" w:rsidRDefault="00000000" w:rsidRPr="00000000" w14:paraId="00000139">
            <w:pPr>
              <w:jc w:val="center"/>
              <w:rPr>
                <w:rFonts w:ascii="Garamond" w:cs="Garamond" w:eastAsia="Garamond" w:hAnsi="Garamond"/>
                <w:b w:val="1"/>
                <w:bCs w:val="1"/>
                <w:sz w:val="21"/>
                <w:szCs w:val="21"/>
              </w:rPr>
            </w:pPr>
            <w:r w:rsidDel="00000000" w:rsidR="00000000" w:rsidRPr="00000000">
              <w:rPr>
                <w:rFonts w:ascii="Garamond" w:cs="Garamond" w:eastAsia="Garamond" w:hAnsi="Garamond"/>
                <w:b w:val="1"/>
                <w:bCs w:val="1"/>
                <w:sz w:val="21"/>
                <w:szCs w:val="21"/>
                <w:rtl w:val="0"/>
              </w:rPr>
              <w:t xml:space="preserve">2025 real</w:t>
            </w:r>
          </w:p>
        </w:tc>
      </w:tr>
      <w:tr>
        <w:trPr>
          <w:cantSplit w:val="0"/>
          <w:trHeight w:val="57" w:hRule="atLeast"/>
          <w:tblHeader w:val="0"/>
        </w:trPr>
        <w:tc>
          <w:tcPr/>
          <w:p w:rsidR="00000000" w:rsidDel="00000000" w:rsidP="00000000" w:rsidRDefault="00000000" w:rsidRPr="00000000" w14:paraId="0000013A">
            <w:pPr>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 Inflación </w:t>
            </w:r>
          </w:p>
        </w:tc>
        <w:tc>
          <w:tcPr/>
          <w:p w:rsidR="00000000" w:rsidDel="00000000" w:rsidP="00000000" w:rsidRDefault="00000000" w:rsidRPr="00000000" w14:paraId="0000013B">
            <w:pPr>
              <w:jc w:val="center"/>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5,75</w:t>
            </w:r>
          </w:p>
        </w:tc>
        <w:tc>
          <w:tcPr/>
          <w:p w:rsidR="00000000" w:rsidDel="00000000" w:rsidP="00000000" w:rsidRDefault="00000000" w:rsidRPr="00000000" w14:paraId="0000013C">
            <w:pPr>
              <w:jc w:val="center"/>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4,09</w:t>
            </w:r>
          </w:p>
        </w:tc>
        <w:tc>
          <w:tcPr/>
          <w:p w:rsidR="00000000" w:rsidDel="00000000" w:rsidP="00000000" w:rsidRDefault="00000000" w:rsidRPr="00000000" w14:paraId="0000013D">
            <w:pPr>
              <w:jc w:val="center"/>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3,18</w:t>
            </w:r>
          </w:p>
        </w:tc>
        <w:tc>
          <w:tcPr/>
          <w:p w:rsidR="00000000" w:rsidDel="00000000" w:rsidP="00000000" w:rsidRDefault="00000000" w:rsidRPr="00000000" w14:paraId="0000013E">
            <w:pPr>
              <w:jc w:val="center"/>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3,80</w:t>
            </w:r>
          </w:p>
        </w:tc>
        <w:tc>
          <w:tcPr/>
          <w:p w:rsidR="00000000" w:rsidDel="00000000" w:rsidP="00000000" w:rsidRDefault="00000000" w:rsidRPr="00000000" w14:paraId="0000013F">
            <w:pPr>
              <w:jc w:val="center"/>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1.97</w:t>
            </w:r>
          </w:p>
        </w:tc>
        <w:tc>
          <w:tcPr/>
          <w:p w:rsidR="00000000" w:rsidDel="00000000" w:rsidP="00000000" w:rsidRDefault="00000000" w:rsidRPr="00000000" w14:paraId="00000140">
            <w:pPr>
              <w:jc w:val="center"/>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5,62</w:t>
            </w:r>
          </w:p>
        </w:tc>
        <w:tc>
          <w:tcPr/>
          <w:p w:rsidR="00000000" w:rsidDel="00000000" w:rsidP="00000000" w:rsidRDefault="00000000" w:rsidRPr="00000000" w14:paraId="00000141">
            <w:pPr>
              <w:jc w:val="center"/>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13,2</w:t>
            </w:r>
          </w:p>
        </w:tc>
        <w:tc>
          <w:tcPr/>
          <w:p w:rsidR="00000000" w:rsidDel="00000000" w:rsidP="00000000" w:rsidRDefault="00000000" w:rsidRPr="00000000" w14:paraId="00000142">
            <w:pPr>
              <w:jc w:val="center"/>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9,28</w:t>
            </w:r>
          </w:p>
        </w:tc>
        <w:tc>
          <w:tcPr/>
          <w:p w:rsidR="00000000" w:rsidDel="00000000" w:rsidP="00000000" w:rsidRDefault="00000000" w:rsidRPr="00000000" w14:paraId="00000143">
            <w:pPr>
              <w:jc w:val="center"/>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3,00</w:t>
            </w:r>
          </w:p>
        </w:tc>
        <w:tc>
          <w:tcPr/>
          <w:p w:rsidR="00000000" w:rsidDel="00000000" w:rsidP="00000000" w:rsidRDefault="00000000" w:rsidRPr="00000000" w14:paraId="00000144">
            <w:pPr>
              <w:jc w:val="center"/>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5,10</w:t>
            </w:r>
          </w:p>
        </w:tc>
      </w:tr>
    </w:tbl>
    <w:p w:rsidR="00000000" w:rsidDel="00000000" w:rsidP="00000000" w:rsidRDefault="00000000" w:rsidRPr="00000000" w14:paraId="000001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Garamond" w:cs="Garamond" w:eastAsia="Garamond" w:hAnsi="Garamond"/>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46">
      <w:pPr>
        <w:spacing w:after="240" w:before="240" w:line="235"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La inflación en Colombia ha tenido un comportamiento relativamente variable durante los últimos años. Aunque entre 2017 y 2020 presentó una tendencia más estable, a partir de 2021 comenzó a registrar incrementos importantes, alcanzando su punto más alto en 2022, cuando llegó al 13,12%. Esta situación obedeció, entre otros factores, al incremento en los precios de alimentos, combustibles, transporte, insumos agrícolas y demás costos asociados a la dinámica económica nacional e internacional.</w:t>
      </w:r>
    </w:p>
    <w:p w:rsidR="00000000" w:rsidDel="00000000" w:rsidP="00000000" w:rsidRDefault="00000000" w:rsidRPr="00000000" w14:paraId="00000147">
      <w:pPr>
        <w:spacing w:after="240" w:before="240" w:line="235"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Posteriormente, a partir de 2023 se evidenció una reducción gradual en el nivel de inflación. Para el año 2024, la inflación real se ubicó en 5,20%, mientras que para 2025 cerró en 5,10%. Así mismo, para el año 2026, con corte a marzo, el último dato disponible registra una inflación anual de 5,56%, lo que permite evidenciar que, aunque el indicador ha disminuido frente a los máximos observados en años anteriores, aún conserva incidencia sobre la estructura de costos y, por tanto, debe ser tenido en cuenta dentro del análisis económico del proceso</w:t>
      </w:r>
    </w:p>
    <w:p w:rsidR="00000000" w:rsidDel="00000000" w:rsidP="00000000" w:rsidRDefault="00000000" w:rsidRPr="00000000" w14:paraId="000001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 w:lineRule="auto"/>
        <w:ind w:left="118" w:right="136"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49">
      <w:pPr>
        <w:pStyle w:val="Heading3"/>
        <w:numPr>
          <w:ilvl w:val="2"/>
          <w:numId w:val="9"/>
        </w:numPr>
        <w:spacing w:before="0" w:lineRule="auto"/>
        <w:ind w:left="838" w:hanging="720"/>
        <w:rPr>
          <w:rFonts w:ascii="Garamond" w:cs="Garamond" w:eastAsia="Garamond" w:hAnsi="Garamond"/>
          <w:b w:val="1"/>
          <w:bCs w:val="1"/>
          <w:color w:val="000000"/>
        </w:rPr>
      </w:pPr>
      <w:r w:rsidDel="00000000" w:rsidR="00000000" w:rsidRPr="00000000">
        <w:rPr>
          <w:rFonts w:ascii="Garamond" w:cs="Garamond" w:eastAsia="Garamond" w:hAnsi="Garamond"/>
          <w:b w:val="1"/>
          <w:bCs w:val="1"/>
          <w:color w:val="000000"/>
          <w:rtl w:val="0"/>
        </w:rPr>
        <w:t xml:space="preserve">Tasa de interés – DTF (proyección)</w:t>
      </w:r>
    </w:p>
    <w:p w:rsidR="00000000" w:rsidDel="00000000" w:rsidP="00000000" w:rsidRDefault="00000000" w:rsidRPr="00000000" w14:paraId="000001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left"/>
        <w:rPr>
          <w:rFonts w:ascii="Garamond" w:cs="Garamond" w:eastAsia="Garamond" w:hAnsi="Garamond"/>
          <w:b w:val="1"/>
          <w:bCs w:val="1"/>
          <w:i w:val="0"/>
          <w:iCs w:val="0"/>
          <w:smallCaps w:val="0"/>
          <w:strike w:val="0"/>
          <w:color w:val="000000"/>
          <w:sz w:val="23"/>
          <w:szCs w:val="23"/>
          <w:u w:val="none"/>
          <w:shd w:fill="auto" w:val="clear"/>
          <w:vertAlign w:val="baseline"/>
        </w:rPr>
      </w:pPr>
      <w:r w:rsidDel="00000000" w:rsidR="00000000" w:rsidRPr="00000000">
        <w:rPr>
          <w:rtl w:val="0"/>
        </w:rPr>
      </w:r>
    </w:p>
    <w:p w:rsidR="00000000" w:rsidDel="00000000" w:rsidP="00000000" w:rsidRDefault="00000000" w:rsidRPr="00000000" w14:paraId="000001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 w:lineRule="auto"/>
        <w:ind w:left="118" w:right="138"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sz w:val="24"/>
          <w:szCs w:val="24"/>
          <w:rtl w:val="0"/>
        </w:rPr>
        <w:t xml:space="preserve">A finales de abril de 2026, la tasa DTF (90 días, EA) en Colombia se sitúa alrededor del 10,10% - 10,14%, mostrando una tendencia de ajuste, mientras que la tasa de política monetaria del Banco de la República se mantiene en 11,25%. Estas tasas son claves para el sistema financiero y reflejan un entorno de alto costo de endeudamiento. </w:t>
      </w:r>
      <w:r w:rsidDel="00000000" w:rsidR="00000000" w:rsidRPr="00000000">
        <w:rPr>
          <w:rtl w:val="0"/>
        </w:rPr>
      </w:r>
    </w:p>
    <w:p w:rsidR="00000000" w:rsidDel="00000000" w:rsidP="00000000" w:rsidRDefault="00000000" w:rsidRPr="00000000" w14:paraId="000001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 w:lineRule="auto"/>
        <w:ind w:left="118" w:right="138"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left"/>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1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left"/>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1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left"/>
        <w:rPr>
          <w:rFonts w:ascii="Garamond" w:cs="Garamond" w:eastAsia="Garamond" w:hAnsi="Garamond"/>
          <w:sz w:val="24"/>
          <w:szCs w:val="24"/>
        </w:rPr>
      </w:pPr>
      <w:r w:rsidDel="00000000" w:rsidR="00000000" w:rsidRPr="00000000">
        <w:rPr>
          <w:rtl w:val="0"/>
        </w:rPr>
      </w:r>
    </w:p>
    <w:tbl>
      <w:tblPr>
        <w:tblStyle w:val="Table6"/>
        <w:tblW w:w="1620.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810"/>
        <w:gridCol w:w="810"/>
        <w:tblGridChange w:id="0">
          <w:tblGrid>
            <w:gridCol w:w="810"/>
            <w:gridCol w:w="810"/>
          </w:tblGrid>
        </w:tblGridChange>
      </w:tblGrid>
      <w:tr>
        <w:trPr>
          <w:cantSplit w:val="0"/>
          <w:trHeight w:val="93" w:hRule="atLeast"/>
          <w:tblHeader w:val="0"/>
        </w:trPr>
        <w:tc>
          <w:tcPr/>
          <w:p w:rsidR="00000000" w:rsidDel="00000000" w:rsidP="00000000" w:rsidRDefault="00000000" w:rsidRPr="00000000" w14:paraId="00000150">
            <w:pPr>
              <w:jc w:val="both"/>
              <w:rPr>
                <w:rFonts w:ascii="Garamond" w:cs="Garamond" w:eastAsia="Garamond" w:hAnsi="Garamond"/>
                <w:sz w:val="21"/>
                <w:szCs w:val="21"/>
              </w:rPr>
            </w:pPr>
            <w:r w:rsidDel="00000000" w:rsidR="00000000" w:rsidRPr="00000000">
              <w:rPr>
                <w:rFonts w:ascii="Garamond" w:cs="Garamond" w:eastAsia="Garamond" w:hAnsi="Garamond"/>
                <w:b w:val="1"/>
                <w:bCs w:val="1"/>
                <w:sz w:val="21"/>
                <w:szCs w:val="21"/>
                <w:rtl w:val="0"/>
              </w:rPr>
              <w:t xml:space="preserve">Año </w:t>
            </w:r>
            <w:r w:rsidDel="00000000" w:rsidR="00000000" w:rsidRPr="00000000">
              <w:rPr>
                <w:rtl w:val="0"/>
              </w:rPr>
            </w:r>
          </w:p>
        </w:tc>
        <w:tc>
          <w:tcPr/>
          <w:p w:rsidR="00000000" w:rsidDel="00000000" w:rsidP="00000000" w:rsidRDefault="00000000" w:rsidRPr="00000000" w14:paraId="00000151">
            <w:pPr>
              <w:jc w:val="both"/>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 </w:t>
            </w:r>
            <w:r w:rsidDel="00000000" w:rsidR="00000000" w:rsidRPr="00000000">
              <w:rPr>
                <w:rFonts w:ascii="Garamond" w:cs="Garamond" w:eastAsia="Garamond" w:hAnsi="Garamond"/>
                <w:b w:val="1"/>
                <w:bCs w:val="1"/>
                <w:sz w:val="21"/>
                <w:szCs w:val="21"/>
                <w:rtl w:val="0"/>
              </w:rPr>
              <w:t xml:space="preserve">Tasa (%) </w:t>
            </w:r>
            <w:r w:rsidDel="00000000" w:rsidR="00000000" w:rsidRPr="00000000">
              <w:rPr>
                <w:rtl w:val="0"/>
              </w:rPr>
            </w:r>
          </w:p>
        </w:tc>
      </w:tr>
      <w:tr>
        <w:trPr>
          <w:cantSplit w:val="0"/>
          <w:trHeight w:val="93" w:hRule="atLeast"/>
          <w:tblHeader w:val="0"/>
        </w:trPr>
        <w:tc>
          <w:tcPr/>
          <w:p w:rsidR="00000000" w:rsidDel="00000000" w:rsidP="00000000" w:rsidRDefault="00000000" w:rsidRPr="00000000" w14:paraId="00000152">
            <w:pPr>
              <w:jc w:val="center"/>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2016</w:t>
            </w:r>
          </w:p>
        </w:tc>
        <w:tc>
          <w:tcPr/>
          <w:p w:rsidR="00000000" w:rsidDel="00000000" w:rsidP="00000000" w:rsidRDefault="00000000" w:rsidRPr="00000000" w14:paraId="00000153">
            <w:pPr>
              <w:jc w:val="center"/>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6,86</w:t>
            </w:r>
          </w:p>
        </w:tc>
      </w:tr>
      <w:tr>
        <w:trPr>
          <w:cantSplit w:val="0"/>
          <w:trHeight w:val="93" w:hRule="atLeast"/>
          <w:tblHeader w:val="0"/>
        </w:trPr>
        <w:tc>
          <w:tcPr/>
          <w:p w:rsidR="00000000" w:rsidDel="00000000" w:rsidP="00000000" w:rsidRDefault="00000000" w:rsidRPr="00000000" w14:paraId="00000154">
            <w:pPr>
              <w:jc w:val="center"/>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2017</w:t>
            </w:r>
          </w:p>
        </w:tc>
        <w:tc>
          <w:tcPr/>
          <w:p w:rsidR="00000000" w:rsidDel="00000000" w:rsidP="00000000" w:rsidRDefault="00000000" w:rsidRPr="00000000" w14:paraId="00000155">
            <w:pPr>
              <w:jc w:val="center"/>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5.21</w:t>
            </w:r>
          </w:p>
        </w:tc>
      </w:tr>
      <w:tr>
        <w:trPr>
          <w:cantSplit w:val="0"/>
          <w:trHeight w:val="93" w:hRule="atLeast"/>
          <w:tblHeader w:val="0"/>
        </w:trPr>
        <w:tc>
          <w:tcPr/>
          <w:p w:rsidR="00000000" w:rsidDel="00000000" w:rsidP="00000000" w:rsidRDefault="00000000" w:rsidRPr="00000000" w14:paraId="00000156">
            <w:pPr>
              <w:jc w:val="center"/>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2018</w:t>
            </w:r>
          </w:p>
        </w:tc>
        <w:tc>
          <w:tcPr/>
          <w:p w:rsidR="00000000" w:rsidDel="00000000" w:rsidP="00000000" w:rsidRDefault="00000000" w:rsidRPr="00000000" w14:paraId="00000157">
            <w:pPr>
              <w:jc w:val="center"/>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4,54</w:t>
            </w:r>
          </w:p>
        </w:tc>
      </w:tr>
      <w:tr>
        <w:trPr>
          <w:cantSplit w:val="0"/>
          <w:trHeight w:val="93" w:hRule="atLeast"/>
          <w:tblHeader w:val="0"/>
        </w:trPr>
        <w:tc>
          <w:tcPr/>
          <w:p w:rsidR="00000000" w:rsidDel="00000000" w:rsidP="00000000" w:rsidRDefault="00000000" w:rsidRPr="00000000" w14:paraId="00000158">
            <w:pPr>
              <w:jc w:val="center"/>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2019</w:t>
            </w:r>
          </w:p>
        </w:tc>
        <w:tc>
          <w:tcPr/>
          <w:p w:rsidR="00000000" w:rsidDel="00000000" w:rsidP="00000000" w:rsidRDefault="00000000" w:rsidRPr="00000000" w14:paraId="00000159">
            <w:pPr>
              <w:jc w:val="center"/>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4,52</w:t>
            </w:r>
          </w:p>
        </w:tc>
      </w:tr>
      <w:tr>
        <w:trPr>
          <w:cantSplit w:val="0"/>
          <w:trHeight w:val="93" w:hRule="atLeast"/>
          <w:tblHeader w:val="0"/>
        </w:trPr>
        <w:tc>
          <w:tcPr/>
          <w:p w:rsidR="00000000" w:rsidDel="00000000" w:rsidP="00000000" w:rsidRDefault="00000000" w:rsidRPr="00000000" w14:paraId="0000015A">
            <w:pPr>
              <w:jc w:val="center"/>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2020</w:t>
            </w:r>
          </w:p>
        </w:tc>
        <w:tc>
          <w:tcPr/>
          <w:p w:rsidR="00000000" w:rsidDel="00000000" w:rsidP="00000000" w:rsidRDefault="00000000" w:rsidRPr="00000000" w14:paraId="0000015B">
            <w:pPr>
              <w:jc w:val="center"/>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1.97</w:t>
            </w:r>
          </w:p>
        </w:tc>
      </w:tr>
      <w:tr>
        <w:trPr>
          <w:cantSplit w:val="0"/>
          <w:trHeight w:val="93" w:hRule="atLeast"/>
          <w:tblHeader w:val="0"/>
        </w:trPr>
        <w:tc>
          <w:tcPr/>
          <w:p w:rsidR="00000000" w:rsidDel="00000000" w:rsidP="00000000" w:rsidRDefault="00000000" w:rsidRPr="00000000" w14:paraId="0000015C">
            <w:pPr>
              <w:jc w:val="center"/>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2021</w:t>
            </w:r>
          </w:p>
        </w:tc>
        <w:tc>
          <w:tcPr/>
          <w:p w:rsidR="00000000" w:rsidDel="00000000" w:rsidP="00000000" w:rsidRDefault="00000000" w:rsidRPr="00000000" w14:paraId="0000015D">
            <w:pPr>
              <w:jc w:val="center"/>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3,00</w:t>
            </w:r>
          </w:p>
        </w:tc>
      </w:tr>
      <w:tr>
        <w:trPr>
          <w:cantSplit w:val="0"/>
          <w:trHeight w:val="93" w:hRule="atLeast"/>
          <w:tblHeader w:val="0"/>
        </w:trPr>
        <w:tc>
          <w:tcPr/>
          <w:p w:rsidR="00000000" w:rsidDel="00000000" w:rsidP="00000000" w:rsidRDefault="00000000" w:rsidRPr="00000000" w14:paraId="0000015E">
            <w:pPr>
              <w:jc w:val="center"/>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2022</w:t>
            </w:r>
          </w:p>
        </w:tc>
        <w:tc>
          <w:tcPr/>
          <w:p w:rsidR="00000000" w:rsidDel="00000000" w:rsidP="00000000" w:rsidRDefault="00000000" w:rsidRPr="00000000" w14:paraId="0000015F">
            <w:pPr>
              <w:jc w:val="center"/>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3,73</w:t>
            </w:r>
          </w:p>
        </w:tc>
      </w:tr>
      <w:tr>
        <w:trPr>
          <w:cantSplit w:val="0"/>
          <w:trHeight w:val="93" w:hRule="atLeast"/>
          <w:tblHeader w:val="0"/>
        </w:trPr>
        <w:tc>
          <w:tcPr/>
          <w:p w:rsidR="00000000" w:rsidDel="00000000" w:rsidP="00000000" w:rsidRDefault="00000000" w:rsidRPr="00000000" w14:paraId="00000160">
            <w:pPr>
              <w:jc w:val="center"/>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2023</w:t>
            </w:r>
          </w:p>
        </w:tc>
        <w:tc>
          <w:tcPr/>
          <w:p w:rsidR="00000000" w:rsidDel="00000000" w:rsidP="00000000" w:rsidRDefault="00000000" w:rsidRPr="00000000" w14:paraId="00000161">
            <w:pPr>
              <w:jc w:val="center"/>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12,69</w:t>
            </w:r>
          </w:p>
        </w:tc>
      </w:tr>
      <w:tr>
        <w:trPr>
          <w:cantSplit w:val="0"/>
          <w:trHeight w:val="93" w:hRule="atLeast"/>
          <w:tblHeader w:val="0"/>
        </w:trPr>
        <w:tc>
          <w:tcPr/>
          <w:p w:rsidR="00000000" w:rsidDel="00000000" w:rsidP="00000000" w:rsidRDefault="00000000" w:rsidRPr="00000000" w14:paraId="00000162">
            <w:pPr>
              <w:jc w:val="center"/>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2024</w:t>
            </w:r>
          </w:p>
        </w:tc>
        <w:tc>
          <w:tcPr/>
          <w:p w:rsidR="00000000" w:rsidDel="00000000" w:rsidP="00000000" w:rsidRDefault="00000000" w:rsidRPr="00000000" w14:paraId="00000163">
            <w:pPr>
              <w:jc w:val="center"/>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9,25</w:t>
            </w:r>
          </w:p>
        </w:tc>
      </w:tr>
      <w:tr>
        <w:trPr>
          <w:cantSplit w:val="0"/>
          <w:trHeight w:val="93" w:hRule="atLeast"/>
          <w:tblHeader w:val="0"/>
        </w:trPr>
        <w:tc>
          <w:tcPr/>
          <w:p w:rsidR="00000000" w:rsidDel="00000000" w:rsidP="00000000" w:rsidRDefault="00000000" w:rsidRPr="00000000" w14:paraId="00000164">
            <w:pPr>
              <w:jc w:val="center"/>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2025</w:t>
            </w:r>
          </w:p>
        </w:tc>
        <w:tc>
          <w:tcPr/>
          <w:p w:rsidR="00000000" w:rsidDel="00000000" w:rsidP="00000000" w:rsidRDefault="00000000" w:rsidRPr="00000000" w14:paraId="00000165">
            <w:pPr>
              <w:jc w:val="center"/>
              <w:rPr>
                <w:rFonts w:ascii="Garamond" w:cs="Garamond" w:eastAsia="Garamond" w:hAnsi="Garamond"/>
                <w:sz w:val="21"/>
                <w:szCs w:val="21"/>
              </w:rPr>
            </w:pPr>
            <w:r w:rsidDel="00000000" w:rsidR="00000000" w:rsidRPr="00000000">
              <w:rPr>
                <w:rFonts w:ascii="Garamond" w:cs="Garamond" w:eastAsia="Garamond" w:hAnsi="Garamond"/>
                <w:sz w:val="21"/>
                <w:szCs w:val="21"/>
                <w:rtl w:val="0"/>
              </w:rPr>
              <w:t xml:space="preserve">11,25</w:t>
            </w:r>
          </w:p>
        </w:tc>
      </w:tr>
    </w:tbl>
    <w:p w:rsidR="00000000" w:rsidDel="00000000" w:rsidP="00000000" w:rsidRDefault="00000000" w:rsidRPr="00000000" w14:paraId="000001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Garamond" w:cs="Garamond" w:eastAsia="Garamond" w:hAnsi="Garamond"/>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 w:lineRule="auto"/>
        <w:ind w:left="118" w:right="138" w:firstLine="0"/>
        <w:jc w:val="both"/>
        <w:rPr>
          <w:rFonts w:ascii="Garamond" w:cs="Garamond" w:eastAsia="Garamond" w:hAnsi="Garamond"/>
          <w:i w:val="0"/>
          <w:iCs w:val="0"/>
          <w:smallCaps w:val="0"/>
          <w:strike w:val="0"/>
          <w:sz w:val="24"/>
          <w:szCs w:val="24"/>
          <w:highlight w:val="white"/>
          <w:u w:val="none"/>
          <w:vertAlign w:val="baseline"/>
        </w:rPr>
      </w:pPr>
      <w:r w:rsidDel="00000000" w:rsidR="00000000" w:rsidRPr="00000000">
        <w:rPr>
          <w:rFonts w:ascii="Garamond" w:cs="Garamond" w:eastAsia="Garamond" w:hAnsi="Garamond"/>
          <w:sz w:val="24"/>
          <w:szCs w:val="24"/>
          <w:highlight w:val="white"/>
          <w:rtl w:val="0"/>
        </w:rPr>
        <w:t xml:space="preserve">la tasa de interés se mantiene alta (por encima del 5%). Las proyecciones sugieren que las tasas podrían cerrar el año cerca del 12% </w:t>
      </w:r>
      <w:r w:rsidDel="00000000" w:rsidR="00000000" w:rsidRPr="00000000">
        <w:rPr>
          <w:rtl w:val="0"/>
        </w:rPr>
      </w:r>
    </w:p>
    <w:p w:rsidR="00000000" w:rsidDel="00000000" w:rsidP="00000000" w:rsidRDefault="00000000" w:rsidRPr="00000000" w14:paraId="000001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 w:lineRule="auto"/>
        <w:ind w:left="118" w:right="138" w:firstLine="0"/>
        <w:jc w:val="both"/>
        <w:rPr>
          <w:rFonts w:ascii="Garamond" w:cs="Garamond" w:eastAsia="Garamond" w:hAnsi="Garamond"/>
          <w:b w:val="0"/>
          <w:bCs w:val="0"/>
          <w:i w:val="0"/>
          <w:iCs w:val="0"/>
          <w:smallCaps w:val="0"/>
          <w:strike w:val="0"/>
          <w:color w:val="000000"/>
          <w:sz w:val="24"/>
          <w:szCs w:val="24"/>
          <w:u w:val="none"/>
          <w:vertAlign w:val="baseline"/>
        </w:rPr>
      </w:pPr>
      <w:r w:rsidDel="00000000" w:rsidR="00000000" w:rsidRPr="00000000">
        <w:rPr>
          <w:rtl w:val="0"/>
        </w:rPr>
      </w:r>
    </w:p>
    <w:p w:rsidR="00000000" w:rsidDel="00000000" w:rsidP="00000000" w:rsidRDefault="00000000" w:rsidRPr="00000000" w14:paraId="000001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left"/>
        <w:rPr>
          <w:rFonts w:ascii="Garamond" w:cs="Garamond" w:eastAsia="Garamond" w:hAnsi="Garamond"/>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6A">
      <w:pPr>
        <w:pStyle w:val="Heading3"/>
        <w:numPr>
          <w:ilvl w:val="2"/>
          <w:numId w:val="9"/>
        </w:numPr>
        <w:spacing w:before="0" w:lineRule="auto"/>
        <w:ind w:left="838" w:hanging="720"/>
        <w:rPr>
          <w:rFonts w:ascii="Garamond" w:cs="Garamond" w:eastAsia="Garamond" w:hAnsi="Garamond"/>
          <w:b w:val="1"/>
          <w:bCs w:val="1"/>
          <w:color w:val="000000"/>
        </w:rPr>
      </w:pPr>
      <w:r w:rsidDel="00000000" w:rsidR="00000000" w:rsidRPr="00000000">
        <w:rPr>
          <w:rFonts w:ascii="Garamond" w:cs="Garamond" w:eastAsia="Garamond" w:hAnsi="Garamond"/>
          <w:b w:val="1"/>
          <w:bCs w:val="1"/>
          <w:color w:val="000000"/>
          <w:rtl w:val="0"/>
        </w:rPr>
        <w:t xml:space="preserve">Índice de Precios al Consumidor (IPC)</w:t>
      </w:r>
    </w:p>
    <w:p w:rsidR="00000000" w:rsidDel="00000000" w:rsidP="00000000" w:rsidRDefault="00000000" w:rsidRPr="00000000" w14:paraId="000001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both"/>
        <w:rPr>
          <w:rFonts w:ascii="Garamond" w:cs="Garamond" w:eastAsia="Garamond" w:hAnsi="Garamond"/>
          <w:b w:val="1"/>
          <w:bCs w:val="1"/>
          <w:i w:val="0"/>
          <w:iCs w:val="0"/>
          <w:smallCaps w:val="0"/>
          <w:strike w:val="0"/>
          <w:color w:val="000000"/>
          <w:sz w:val="23"/>
          <w:szCs w:val="23"/>
          <w:u w:val="none"/>
          <w:shd w:fill="auto" w:val="clear"/>
          <w:vertAlign w:val="baseline"/>
        </w:rPr>
      </w:pPr>
      <w:r w:rsidDel="00000000" w:rsidR="00000000" w:rsidRPr="00000000">
        <w:rPr>
          <w:rtl w:val="0"/>
        </w:rPr>
      </w:r>
    </w:p>
    <w:p w:rsidR="00000000" w:rsidDel="00000000" w:rsidP="00000000" w:rsidRDefault="00000000" w:rsidRPr="00000000" w14:paraId="0000016C">
      <w:pPr>
        <w:spacing w:after="240" w:befor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En marzo de 2026 la variación mensual del IPC fue 0,78%, la variación año corrido fue 3,07% y la anual fue 5,56%.</w:t>
      </w:r>
    </w:p>
    <w:p w:rsidR="00000000" w:rsidDel="00000000" w:rsidP="00000000" w:rsidRDefault="00000000" w:rsidRPr="00000000" w14:paraId="0000016D">
      <w:pPr>
        <w:spacing w:after="240" w:befor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En marzo de 2026 la variación anual del IPC fue 5,56%, es decir  0.47 puntos porcentuales mayor que la reportada en el mismo periodo del año anterior, cuando fue de 5,09%.</w:t>
      </w:r>
    </w:p>
    <w:p w:rsidR="00000000" w:rsidDel="00000000" w:rsidP="00000000" w:rsidRDefault="00000000" w:rsidRPr="00000000" w14:paraId="0000016E">
      <w:pPr>
        <w:spacing w:after="240" w:befor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El comportamiento mensual del IPC total en marzo de 2026 se explicó principalmente por la variación mensual de las divisiones Información y comunicación, con 2,96%, y Alimentos y bebidas no alcohólicas, con 1,27%. De igual manera, se presentaron incrementos relevantes en las divisiones de Salud, con 1,06%, y Bienes y servicios diversos, las cuales se ubicaron por encima del promedio nacional mensual.</w:t>
      </w:r>
    </w:p>
    <w:p w:rsidR="00000000" w:rsidDel="00000000" w:rsidP="00000000" w:rsidRDefault="00000000" w:rsidRPr="00000000" w14:paraId="000001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1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sz w:val="20"/>
          <w:szCs w:val="20"/>
        </w:rPr>
        <w:drawing>
          <wp:inline distB="114300" distT="114300" distL="114300" distR="114300">
            <wp:extent cx="6134100" cy="2311400"/>
            <wp:effectExtent b="0" l="0" r="0" t="0"/>
            <wp:docPr id="12" name="image6.png"/>
            <a:graphic>
              <a:graphicData uri="http://schemas.openxmlformats.org/drawingml/2006/picture">
                <pic:pic>
                  <pic:nvPicPr>
                    <pic:cNvPr id="0" name="image6.png"/>
                    <pic:cNvPicPr preferRelativeResize="0"/>
                  </pic:nvPicPr>
                  <pic:blipFill>
                    <a:blip r:embed="rId27"/>
                    <a:srcRect b="0" l="0" r="0" t="0"/>
                    <a:stretch>
                      <a:fillRect/>
                    </a:stretch>
                  </pic:blipFill>
                  <pic:spPr>
                    <a:xfrm>
                      <a:off x="0" y="0"/>
                      <a:ext cx="6134100" cy="2311400"/>
                    </a:xfrm>
                    <a:prstGeom prst="rect"/>
                    <a:ln/>
                  </pic:spPr>
                </pic:pic>
              </a:graphicData>
            </a:graphic>
          </wp:inline>
        </w:drawing>
      </w:r>
      <w:r w:rsidDel="00000000" w:rsidR="00000000" w:rsidRPr="00000000">
        <w:rPr>
          <w:rtl w:val="0"/>
        </w:rPr>
      </w:r>
    </w:p>
    <w:p w:rsidR="00000000" w:rsidDel="00000000" w:rsidP="00000000" w:rsidRDefault="00000000" w:rsidRPr="00000000" w14:paraId="000001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left"/>
        <w:rPr>
          <w:rFonts w:ascii="Garamond" w:cs="Garamond" w:eastAsia="Garamond" w:hAnsi="Garamond"/>
          <w:b w:val="0"/>
          <w:bCs w:val="0"/>
          <w:i w:val="0"/>
          <w:iCs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73">
      <w:pPr>
        <w:jc w:val="center"/>
        <w:rPr>
          <w:rFonts w:ascii="Garamond" w:cs="Garamond" w:eastAsia="Garamond" w:hAnsi="Garamond"/>
          <w:sz w:val="16"/>
          <w:szCs w:val="16"/>
        </w:rPr>
      </w:pPr>
      <w:bookmarkStart w:colFirst="0" w:colLast="0" w:name="_heading=h.cm6xvtu3p1px" w:id="1"/>
      <w:bookmarkEnd w:id="1"/>
      <w:r w:rsidDel="00000000" w:rsidR="00000000" w:rsidRPr="00000000">
        <w:rPr>
          <w:rFonts w:ascii="Garamond" w:cs="Garamond" w:eastAsia="Garamond" w:hAnsi="Garamond"/>
          <w:sz w:val="16"/>
          <w:szCs w:val="16"/>
          <w:rtl w:val="0"/>
        </w:rPr>
        <w:t xml:space="preserve">Fuente: DANE – Boletín técnico Índice de Precios al Consumidor (IPC) Marzo 2026</w:t>
      </w:r>
      <w:r w:rsidDel="00000000" w:rsidR="00000000" w:rsidRPr="00000000">
        <w:rPr>
          <w:rFonts w:ascii="Garamond" w:cs="Garamond" w:eastAsia="Garamond" w:hAnsi="Garamond"/>
          <w:sz w:val="16"/>
          <w:szCs w:val="16"/>
          <w:vertAlign w:val="superscript"/>
        </w:rPr>
        <w:footnoteReference w:customMarkFollows="0" w:id="8"/>
      </w:r>
      <w:r w:rsidDel="00000000" w:rsidR="00000000" w:rsidRPr="00000000">
        <w:rPr>
          <w:rFonts w:ascii="Garamond" w:cs="Garamond" w:eastAsia="Garamond" w:hAnsi="Garamond"/>
          <w:sz w:val="16"/>
          <w:szCs w:val="16"/>
          <w:rtl w:val="0"/>
        </w:rPr>
        <w:t xml:space="preserve">.</w:t>
      </w:r>
    </w:p>
    <w:p w:rsidR="00000000" w:rsidDel="00000000" w:rsidP="00000000" w:rsidRDefault="00000000" w:rsidRPr="00000000" w14:paraId="000001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Garamond" w:cs="Garamond" w:eastAsia="Garamond" w:hAnsi="Garamond"/>
          <w:b w:val="0"/>
          <w:bCs w:val="0"/>
          <w:i w:val="0"/>
          <w:iCs w:val="0"/>
          <w:smallCaps w:val="0"/>
          <w:strike w:val="0"/>
          <w:color w:val="000000"/>
          <w:sz w:val="23"/>
          <w:szCs w:val="23"/>
          <w:u w:val="none"/>
          <w:shd w:fill="auto" w:val="clear"/>
          <w:vertAlign w:val="baseline"/>
        </w:rPr>
      </w:pPr>
      <w:r w:rsidDel="00000000" w:rsidR="00000000" w:rsidRPr="00000000">
        <w:rPr>
          <w:rtl w:val="0"/>
        </w:rPr>
      </w:r>
    </w:p>
    <w:p w:rsidR="00000000" w:rsidDel="00000000" w:rsidP="00000000" w:rsidRDefault="00000000" w:rsidRPr="00000000" w14:paraId="000001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 w:lineRule="auto"/>
        <w:ind w:left="118" w:right="137"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sz w:val="24"/>
          <w:szCs w:val="24"/>
          <w:rtl w:val="0"/>
        </w:rPr>
        <w:t xml:space="preserve">Los mayores aportes a la variación mensual del IPC en marzo de 2026 (0,78%), se ubican en las divisiones de: Alojamiento, agua, electricidad, gas y otros combustibles y Alimentos y bebidas no alcohólicas, las cuales aportaron 0,26 y 0,24 puntos porcentuales, respectivamente, a la variación total. </w:t>
      </w:r>
      <w:r w:rsidDel="00000000" w:rsidR="00000000" w:rsidRPr="00000000">
        <w:rPr>
          <w:rtl w:val="0"/>
        </w:rPr>
      </w:r>
    </w:p>
    <w:p w:rsidR="00000000" w:rsidDel="00000000" w:rsidP="00000000" w:rsidRDefault="00000000" w:rsidRPr="00000000" w14:paraId="000001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0"/>
          <w:bCs w:val="0"/>
          <w:i w:val="0"/>
          <w:iCs w:val="0"/>
          <w:smallCaps w:val="0"/>
          <w:strike w:val="0"/>
          <w:color w:val="000000"/>
          <w:sz w:val="23"/>
          <w:szCs w:val="23"/>
          <w:u w:val="none"/>
          <w:shd w:fill="auto" w:val="clear"/>
          <w:vertAlign w:val="baseline"/>
        </w:rPr>
      </w:pPr>
      <w:r w:rsidDel="00000000" w:rsidR="00000000" w:rsidRPr="00000000">
        <w:rPr>
          <w:rtl w:val="0"/>
        </w:rPr>
      </w:r>
    </w:p>
    <w:p w:rsidR="00000000" w:rsidDel="00000000" w:rsidP="00000000" w:rsidRDefault="00000000" w:rsidRPr="00000000" w14:paraId="00000177">
      <w:pPr>
        <w:pStyle w:val="Heading3"/>
        <w:numPr>
          <w:ilvl w:val="2"/>
          <w:numId w:val="9"/>
        </w:numPr>
        <w:spacing w:before="0" w:lineRule="auto"/>
        <w:ind w:left="838" w:hanging="720"/>
        <w:rPr>
          <w:rFonts w:ascii="Garamond" w:cs="Garamond" w:eastAsia="Garamond" w:hAnsi="Garamond"/>
          <w:b w:val="1"/>
          <w:bCs w:val="1"/>
          <w:color w:val="000000"/>
        </w:rPr>
      </w:pPr>
      <w:r w:rsidDel="00000000" w:rsidR="00000000" w:rsidRPr="00000000">
        <w:rPr>
          <w:rFonts w:ascii="Garamond" w:cs="Garamond" w:eastAsia="Garamond" w:hAnsi="Garamond"/>
          <w:b w:val="1"/>
          <w:bCs w:val="1"/>
          <w:color w:val="000000"/>
          <w:rtl w:val="0"/>
        </w:rPr>
        <w:t xml:space="preserve">Indicador de Seguimiento a la Economía (ISE)</w:t>
      </w:r>
    </w:p>
    <w:p w:rsidR="00000000" w:rsidDel="00000000" w:rsidP="00000000" w:rsidRDefault="00000000" w:rsidRPr="00000000" w14:paraId="000001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0" w:right="0" w:firstLine="0"/>
        <w:jc w:val="left"/>
        <w:rPr>
          <w:rFonts w:ascii="Garamond" w:cs="Garamond" w:eastAsia="Garamond" w:hAnsi="Garamond"/>
          <w:b w:val="1"/>
          <w:bCs w:val="1"/>
          <w:i w:val="0"/>
          <w:iCs w:val="0"/>
          <w:smallCaps w:val="0"/>
          <w:strike w:val="0"/>
          <w:color w:val="000000"/>
          <w:sz w:val="23"/>
          <w:szCs w:val="23"/>
          <w:u w:val="none"/>
          <w:shd w:fill="auto" w:val="clear"/>
          <w:vertAlign w:val="baseline"/>
        </w:rPr>
      </w:pPr>
      <w:r w:rsidDel="00000000" w:rsidR="00000000" w:rsidRPr="00000000">
        <w:rPr>
          <w:rtl w:val="0"/>
        </w:rPr>
      </w:r>
    </w:p>
    <w:p w:rsidR="00000000" w:rsidDel="00000000" w:rsidP="00000000" w:rsidRDefault="00000000" w:rsidRPr="00000000" w14:paraId="000001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sz w:val="24"/>
          <w:szCs w:val="24"/>
          <w:rtl w:val="0"/>
        </w:rPr>
        <w:t xml:space="preserve">Para el mes de febrero de 2026</w:t>
      </w:r>
      <w:r w:rsidDel="00000000" w:rsidR="00000000" w:rsidRPr="00000000">
        <w:rPr>
          <w:rFonts w:ascii="Garamond" w:cs="Garamond" w:eastAsia="Garamond" w:hAnsi="Garamond"/>
          <w:sz w:val="24"/>
          <w:szCs w:val="24"/>
          <w:rtl w:val="0"/>
        </w:rPr>
        <w:t xml:space="preserve">pr</w:t>
      </w:r>
      <w:r w:rsidDel="00000000" w:rsidR="00000000" w:rsidRPr="00000000">
        <w:rPr>
          <w:rFonts w:ascii="Garamond" w:cs="Garamond" w:eastAsia="Garamond" w:hAnsi="Garamond"/>
          <w:sz w:val="24"/>
          <w:szCs w:val="24"/>
          <w:rtl w:val="0"/>
        </w:rPr>
        <w:t xml:space="preserve"> el ISE en su serie original, se ubicó en 120,17, lo que representó un crecimiento de 1,65% respecto al mes de febrero de 2025</w:t>
      </w:r>
      <w:r w:rsidDel="00000000" w:rsidR="00000000" w:rsidRPr="00000000">
        <w:rPr>
          <w:rFonts w:ascii="Garamond" w:cs="Garamond" w:eastAsia="Garamond" w:hAnsi="Garamond"/>
          <w:sz w:val="24"/>
          <w:szCs w:val="24"/>
          <w:rtl w:val="0"/>
        </w:rPr>
        <w:t xml:space="preserve">pr</w:t>
      </w:r>
      <w:r w:rsidDel="00000000" w:rsidR="00000000" w:rsidRPr="00000000">
        <w:rPr>
          <w:rFonts w:ascii="Garamond" w:cs="Garamond" w:eastAsia="Garamond" w:hAnsi="Garamond"/>
          <w:sz w:val="24"/>
          <w:szCs w:val="24"/>
          <w:rtl w:val="0"/>
        </w:rPr>
        <w:t xml:space="preserve"> (118,22)</w:t>
      </w:r>
      <w:r w:rsidDel="00000000" w:rsidR="00000000" w:rsidRPr="00000000">
        <w:rPr>
          <w:rFonts w:ascii="Garamond" w:cs="Garamond" w:eastAsia="Garamond" w:hAnsi="Garamond"/>
          <w:color w:val="333333"/>
          <w:sz w:val="24"/>
          <w:szCs w:val="24"/>
          <w:shd w:fill="f7f7f7" w:val="clear"/>
          <w:rtl w:val="0"/>
        </w:rPr>
        <w:t xml:space="preserve">.</w:t>
      </w:r>
      <w:r w:rsidDel="00000000" w:rsidR="00000000" w:rsidRPr="00000000">
        <w:rPr>
          <w:rFonts w:ascii="Garamond" w:cs="Garamond" w:eastAsia="Garamond" w:hAnsi="Garamond"/>
          <w:sz w:val="24"/>
          <w:szCs w:val="24"/>
          <w:rtl w:val="0"/>
        </w:rPr>
        <w:t xml:space="preserve"> </w:t>
      </w:r>
      <w:r w:rsidDel="00000000" w:rsidR="00000000" w:rsidRPr="00000000">
        <w:rPr>
          <w:rtl w:val="0"/>
        </w:rPr>
      </w:r>
    </w:p>
    <w:p w:rsidR="00000000" w:rsidDel="00000000" w:rsidP="00000000" w:rsidRDefault="00000000" w:rsidRPr="00000000" w14:paraId="000001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left"/>
        <w:rPr>
          <w:rFonts w:ascii="Garamond" w:cs="Garamond" w:eastAsia="Garamond" w:hAnsi="Garamond"/>
          <w:b w:val="0"/>
          <w:bCs w:val="0"/>
          <w:i w:val="0"/>
          <w:iCs w:val="0"/>
          <w:smallCaps w:val="0"/>
          <w:strike w:val="0"/>
          <w:color w:val="000000"/>
          <w:sz w:val="25"/>
          <w:szCs w:val="25"/>
          <w:u w:val="none"/>
          <w:shd w:fill="auto" w:val="clear"/>
          <w:vertAlign w:val="baseline"/>
        </w:rPr>
      </w:pPr>
      <w:r w:rsidDel="00000000" w:rsidR="00000000" w:rsidRPr="00000000">
        <w:rPr>
          <w:rtl w:val="0"/>
        </w:rPr>
      </w:r>
    </w:p>
    <w:p w:rsidR="00000000" w:rsidDel="00000000" w:rsidP="00000000" w:rsidRDefault="00000000" w:rsidRPr="00000000" w14:paraId="000001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837" w:right="0"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sz w:val="20"/>
          <w:szCs w:val="20"/>
        </w:rPr>
        <w:drawing>
          <wp:inline distB="114300" distT="114300" distL="114300" distR="114300">
            <wp:extent cx="5019675" cy="2262188"/>
            <wp:effectExtent b="0" l="0" r="0" t="0"/>
            <wp:docPr id="19" name="image3.png"/>
            <a:graphic>
              <a:graphicData uri="http://schemas.openxmlformats.org/drawingml/2006/picture">
                <pic:pic>
                  <pic:nvPicPr>
                    <pic:cNvPr id="0" name="image3.png"/>
                    <pic:cNvPicPr preferRelativeResize="0"/>
                  </pic:nvPicPr>
                  <pic:blipFill>
                    <a:blip r:embed="rId28"/>
                    <a:srcRect b="0" l="0" r="0" t="0"/>
                    <a:stretch>
                      <a:fillRect/>
                    </a:stretch>
                  </pic:blipFill>
                  <pic:spPr>
                    <a:xfrm>
                      <a:off x="0" y="0"/>
                      <a:ext cx="5019675" cy="2262188"/>
                    </a:xfrm>
                    <a:prstGeom prst="rect"/>
                    <a:ln/>
                  </pic:spPr>
                </pic:pic>
              </a:graphicData>
            </a:graphic>
          </wp:inline>
        </w:drawing>
      </w:r>
      <w:r w:rsidDel="00000000" w:rsidR="00000000" w:rsidRPr="00000000">
        <w:rPr>
          <w:rtl w:val="0"/>
        </w:rPr>
      </w:r>
    </w:p>
    <w:p w:rsidR="00000000" w:rsidDel="00000000" w:rsidP="00000000" w:rsidRDefault="00000000" w:rsidRPr="00000000" w14:paraId="000001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0" w:right="0" w:firstLine="0"/>
        <w:jc w:val="left"/>
        <w:rPr>
          <w:rFonts w:ascii="Garamond" w:cs="Garamond" w:eastAsia="Garamond" w:hAnsi="Garamond"/>
          <w:b w:val="0"/>
          <w:bCs w:val="0"/>
          <w:i w:val="0"/>
          <w:iCs w:val="0"/>
          <w:smallCaps w:val="0"/>
          <w:strike w:val="0"/>
          <w:color w:val="000000"/>
          <w:sz w:val="13"/>
          <w:szCs w:val="13"/>
          <w:u w:val="none"/>
          <w:shd w:fill="auto" w:val="clear"/>
          <w:vertAlign w:val="baseline"/>
        </w:rPr>
      </w:pPr>
      <w:r w:rsidDel="00000000" w:rsidR="00000000" w:rsidRPr="00000000">
        <w:rPr>
          <w:rtl w:val="0"/>
        </w:rPr>
      </w:r>
    </w:p>
    <w:p w:rsidR="00000000" w:rsidDel="00000000" w:rsidP="00000000" w:rsidRDefault="00000000" w:rsidRPr="00000000" w14:paraId="0000017E">
      <w:pPr>
        <w:jc w:val="center"/>
        <w:rPr>
          <w:rFonts w:ascii="Garamond" w:cs="Garamond" w:eastAsia="Garamond" w:hAnsi="Garamond"/>
          <w:sz w:val="16"/>
          <w:szCs w:val="16"/>
        </w:rPr>
      </w:pPr>
      <w:r w:rsidDel="00000000" w:rsidR="00000000" w:rsidRPr="00000000">
        <w:rPr>
          <w:rFonts w:ascii="Garamond" w:cs="Garamond" w:eastAsia="Garamond" w:hAnsi="Garamond"/>
          <w:sz w:val="16"/>
          <w:szCs w:val="16"/>
          <w:rtl w:val="0"/>
        </w:rPr>
        <w:t xml:space="preserve">Fuente: DANE – Indicador de Seguimiento a la Economía (ISE) Febrero de 2026</w:t>
      </w:r>
      <w:r w:rsidDel="00000000" w:rsidR="00000000" w:rsidRPr="00000000">
        <w:rPr>
          <w:rFonts w:ascii="Garamond" w:cs="Garamond" w:eastAsia="Garamond" w:hAnsi="Garamond"/>
          <w:sz w:val="16"/>
          <w:szCs w:val="16"/>
          <w:vertAlign w:val="superscript"/>
        </w:rPr>
        <w:footnoteReference w:customMarkFollows="0" w:id="9"/>
      </w:r>
      <w:r w:rsidDel="00000000" w:rsidR="00000000" w:rsidRPr="00000000">
        <w:rPr>
          <w:rFonts w:ascii="Garamond" w:cs="Garamond" w:eastAsia="Garamond" w:hAnsi="Garamond"/>
          <w:sz w:val="16"/>
          <w:szCs w:val="16"/>
          <w:rtl w:val="0"/>
        </w:rPr>
        <w:t xml:space="preserve">.</w:t>
      </w:r>
    </w:p>
    <w:p w:rsidR="00000000" w:rsidDel="00000000" w:rsidP="00000000" w:rsidRDefault="00000000" w:rsidRPr="00000000" w14:paraId="000001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Garamond" w:cs="Garamond" w:eastAsia="Garamond" w:hAnsi="Garamond"/>
          <w:b w:val="0"/>
          <w:bCs w:val="0"/>
          <w:i w:val="0"/>
          <w:iCs w:val="0"/>
          <w:smallCaps w:val="0"/>
          <w:strike w:val="0"/>
          <w:color w:val="000000"/>
          <w:sz w:val="23"/>
          <w:szCs w:val="23"/>
          <w:u w:val="none"/>
          <w:shd w:fill="auto" w:val="clear"/>
          <w:vertAlign w:val="baseline"/>
        </w:rPr>
      </w:pPr>
      <w:r w:rsidDel="00000000" w:rsidR="00000000" w:rsidRPr="00000000">
        <w:rPr>
          <w:rtl w:val="0"/>
        </w:rPr>
      </w:r>
    </w:p>
    <w:p w:rsidR="00000000" w:rsidDel="00000000" w:rsidP="00000000" w:rsidRDefault="00000000" w:rsidRPr="00000000" w14:paraId="000001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 w:lineRule="auto"/>
        <w:ind w:left="118" w:right="133" w:firstLine="0"/>
        <w:jc w:val="both"/>
        <w:rPr>
          <w:rFonts w:ascii="Garamond" w:cs="Garamond" w:eastAsia="Garamond" w:hAnsi="Garamond"/>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sz w:val="24"/>
          <w:szCs w:val="24"/>
          <w:rtl w:val="0"/>
        </w:rPr>
        <w:t xml:space="preserve">Comportamiento año corrido:</w:t>
      </w:r>
      <w:r w:rsidDel="00000000" w:rsidR="00000000" w:rsidRPr="00000000">
        <w:rPr>
          <w:rFonts w:ascii="Garamond" w:cs="Garamond" w:eastAsia="Garamond" w:hAnsi="Garamond"/>
          <w:sz w:val="24"/>
          <w:szCs w:val="24"/>
          <w:rtl w:val="0"/>
        </w:rPr>
        <w:t xml:space="preserve"> </w:t>
      </w:r>
      <w:r w:rsidDel="00000000" w:rsidR="00000000" w:rsidRPr="00000000">
        <w:rPr>
          <w:rFonts w:ascii="Garamond" w:cs="Garamond" w:eastAsia="Garamond" w:hAnsi="Garamond"/>
          <w:sz w:val="24"/>
          <w:szCs w:val="24"/>
          <w:rtl w:val="0"/>
        </w:rPr>
        <w:t xml:space="preserve">Para el mes de febrero de 2026</w:t>
      </w:r>
      <w:r w:rsidDel="00000000" w:rsidR="00000000" w:rsidRPr="00000000">
        <w:rPr>
          <w:rFonts w:ascii="Garamond" w:cs="Garamond" w:eastAsia="Garamond" w:hAnsi="Garamond"/>
          <w:sz w:val="24"/>
          <w:szCs w:val="24"/>
          <w:rtl w:val="0"/>
        </w:rPr>
        <w:t xml:space="preserve">pr</w:t>
      </w:r>
      <w:r w:rsidDel="00000000" w:rsidR="00000000" w:rsidRPr="00000000">
        <w:rPr>
          <w:rFonts w:ascii="Garamond" w:cs="Garamond" w:eastAsia="Garamond" w:hAnsi="Garamond"/>
          <w:sz w:val="24"/>
          <w:szCs w:val="24"/>
          <w:rtl w:val="0"/>
        </w:rPr>
        <w:t xml:space="preserve"> el ISE en su serie original, se ubicó en 120,17, lo que representó un crecimiento de 1,65% respecto al mes de febrero de 2025</w:t>
      </w:r>
      <w:r w:rsidDel="00000000" w:rsidR="00000000" w:rsidRPr="00000000">
        <w:rPr>
          <w:rFonts w:ascii="Garamond" w:cs="Garamond" w:eastAsia="Garamond" w:hAnsi="Garamond"/>
          <w:sz w:val="24"/>
          <w:szCs w:val="24"/>
          <w:rtl w:val="0"/>
        </w:rPr>
        <w:t xml:space="preserve">pr</w:t>
      </w:r>
      <w:r w:rsidDel="00000000" w:rsidR="00000000" w:rsidRPr="00000000">
        <w:rPr>
          <w:rFonts w:ascii="Garamond" w:cs="Garamond" w:eastAsia="Garamond" w:hAnsi="Garamond"/>
          <w:sz w:val="24"/>
          <w:szCs w:val="24"/>
          <w:rtl w:val="0"/>
        </w:rPr>
        <w:t xml:space="preserve"> (118,22)</w:t>
      </w:r>
      <w:r w:rsidDel="00000000" w:rsidR="00000000" w:rsidRPr="00000000">
        <w:rPr>
          <w:rFonts w:ascii="Garamond" w:cs="Garamond" w:eastAsia="Garamond" w:hAnsi="Garamond"/>
          <w:color w:val="333333"/>
          <w:sz w:val="24"/>
          <w:szCs w:val="24"/>
          <w:shd w:fill="f7f7f7" w:val="clear"/>
          <w:rtl w:val="0"/>
        </w:rPr>
        <w:t xml:space="preserve">.</w:t>
      </w:r>
      <w:r w:rsidDel="00000000" w:rsidR="00000000" w:rsidRPr="00000000">
        <w:rPr>
          <w:rFonts w:ascii="Garamond" w:cs="Garamond" w:eastAsia="Garamond" w:hAnsi="Garamond"/>
          <w:sz w:val="24"/>
          <w:szCs w:val="24"/>
          <w:rtl w:val="0"/>
        </w:rPr>
        <w:t xml:space="preserve"> </w:t>
      </w:r>
      <w:r w:rsidDel="00000000" w:rsidR="00000000" w:rsidRPr="00000000">
        <w:rPr>
          <w:rtl w:val="0"/>
        </w:rPr>
      </w:r>
    </w:p>
    <w:p w:rsidR="00000000" w:rsidDel="00000000" w:rsidP="00000000" w:rsidRDefault="00000000" w:rsidRPr="00000000" w14:paraId="000001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 w:lineRule="auto"/>
        <w:ind w:left="118" w:right="133"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0" w:right="0" w:firstLine="0"/>
        <w:jc w:val="center"/>
        <w:rPr>
          <w:rFonts w:ascii="Garamond" w:cs="Garamond" w:eastAsia="Garamond" w:hAnsi="Garamond"/>
          <w:b w:val="0"/>
          <w:bCs w:val="0"/>
          <w:i w:val="0"/>
          <w:iCs w:val="0"/>
          <w:smallCaps w:val="0"/>
          <w:strike w:val="0"/>
          <w:color w:val="000000"/>
          <w:sz w:val="25"/>
          <w:szCs w:val="25"/>
          <w:u w:val="none"/>
          <w:shd w:fill="auto" w:val="clear"/>
          <w:vertAlign w:val="baseline"/>
        </w:rPr>
      </w:pPr>
      <w:r w:rsidDel="00000000" w:rsidR="00000000" w:rsidRPr="00000000">
        <w:rPr>
          <w:rFonts w:ascii="Garamond" w:cs="Garamond" w:eastAsia="Garamond" w:hAnsi="Garamond"/>
          <w:sz w:val="25"/>
          <w:szCs w:val="25"/>
        </w:rPr>
        <w:drawing>
          <wp:inline distB="114300" distT="114300" distL="114300" distR="114300">
            <wp:extent cx="6134100" cy="2738438"/>
            <wp:effectExtent b="0" l="0" r="0" t="0"/>
            <wp:docPr id="16" name="image1.png"/>
            <a:graphic>
              <a:graphicData uri="http://schemas.openxmlformats.org/drawingml/2006/picture">
                <pic:pic>
                  <pic:nvPicPr>
                    <pic:cNvPr id="0" name="image1.png"/>
                    <pic:cNvPicPr preferRelativeResize="0"/>
                  </pic:nvPicPr>
                  <pic:blipFill>
                    <a:blip r:embed="rId29"/>
                    <a:srcRect b="0" l="0" r="0" t="0"/>
                    <a:stretch>
                      <a:fillRect/>
                    </a:stretch>
                  </pic:blipFill>
                  <pic:spPr>
                    <a:xfrm>
                      <a:off x="0" y="0"/>
                      <a:ext cx="6134100" cy="2738438"/>
                    </a:xfrm>
                    <a:prstGeom prst="rect"/>
                    <a:ln/>
                  </pic:spPr>
                </pic:pic>
              </a:graphicData>
            </a:graphic>
          </wp:inline>
        </w:drawing>
      </w:r>
      <w:r w:rsidDel="00000000" w:rsidR="00000000" w:rsidRPr="00000000">
        <w:rPr>
          <w:rtl w:val="0"/>
        </w:rPr>
      </w:r>
    </w:p>
    <w:p w:rsidR="00000000" w:rsidDel="00000000" w:rsidP="00000000" w:rsidRDefault="00000000" w:rsidRPr="00000000" w14:paraId="00000183">
      <w:pPr>
        <w:jc w:val="center"/>
        <w:rPr>
          <w:rFonts w:ascii="Garamond" w:cs="Garamond" w:eastAsia="Garamond" w:hAnsi="Garamond"/>
          <w:sz w:val="16"/>
          <w:szCs w:val="16"/>
        </w:rPr>
      </w:pPr>
      <w:bookmarkStart w:colFirst="0" w:colLast="0" w:name="_heading=h.e78h6r30r4cz" w:id="2"/>
      <w:bookmarkEnd w:id="2"/>
      <w:r w:rsidDel="00000000" w:rsidR="00000000" w:rsidRPr="00000000">
        <w:rPr>
          <w:rtl w:val="0"/>
        </w:rPr>
      </w:r>
    </w:p>
    <w:p w:rsidR="00000000" w:rsidDel="00000000" w:rsidP="00000000" w:rsidRDefault="00000000" w:rsidRPr="00000000" w14:paraId="00000184">
      <w:pPr>
        <w:jc w:val="center"/>
        <w:rPr>
          <w:rFonts w:ascii="Garamond" w:cs="Garamond" w:eastAsia="Garamond" w:hAnsi="Garamond"/>
          <w:sz w:val="16"/>
          <w:szCs w:val="16"/>
        </w:rPr>
      </w:pPr>
      <w:r w:rsidDel="00000000" w:rsidR="00000000" w:rsidRPr="00000000">
        <w:rPr>
          <w:rFonts w:ascii="Garamond" w:cs="Garamond" w:eastAsia="Garamond" w:hAnsi="Garamond"/>
          <w:sz w:val="16"/>
          <w:szCs w:val="16"/>
          <w:rtl w:val="0"/>
        </w:rPr>
        <w:t xml:space="preserve">Fuente: DANE – Indicador de Seguimiento a la Economía (ISE) Febrero de 2026</w:t>
      </w:r>
      <w:r w:rsidDel="00000000" w:rsidR="00000000" w:rsidRPr="00000000">
        <w:rPr>
          <w:rFonts w:ascii="Garamond" w:cs="Garamond" w:eastAsia="Garamond" w:hAnsi="Garamond"/>
          <w:sz w:val="16"/>
          <w:szCs w:val="16"/>
          <w:vertAlign w:val="superscript"/>
        </w:rPr>
        <w:footnoteReference w:customMarkFollows="0" w:id="10"/>
      </w:r>
      <w:r w:rsidDel="00000000" w:rsidR="00000000" w:rsidRPr="00000000">
        <w:rPr>
          <w:rFonts w:ascii="Garamond" w:cs="Garamond" w:eastAsia="Garamond" w:hAnsi="Garamond"/>
          <w:sz w:val="16"/>
          <w:szCs w:val="16"/>
          <w:rtl w:val="0"/>
        </w:rPr>
        <w:t xml:space="preserve">.</w:t>
      </w:r>
    </w:p>
    <w:p w:rsidR="00000000" w:rsidDel="00000000" w:rsidP="00000000" w:rsidRDefault="00000000" w:rsidRPr="00000000" w14:paraId="000001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86">
      <w:pPr>
        <w:pStyle w:val="Heading3"/>
        <w:numPr>
          <w:ilvl w:val="2"/>
          <w:numId w:val="9"/>
        </w:numPr>
        <w:spacing w:before="0" w:lineRule="auto"/>
        <w:ind w:left="838" w:hanging="720"/>
        <w:rPr>
          <w:rFonts w:ascii="Garamond" w:cs="Garamond" w:eastAsia="Garamond" w:hAnsi="Garamond"/>
          <w:b w:val="1"/>
          <w:bCs w:val="1"/>
          <w:color w:val="000000"/>
        </w:rPr>
      </w:pPr>
      <w:bookmarkStart w:colFirst="0" w:colLast="0" w:name="_heading=h.jnvo3eguyl36" w:id="3"/>
      <w:bookmarkEnd w:id="3"/>
      <w:r w:rsidDel="00000000" w:rsidR="00000000" w:rsidRPr="00000000">
        <w:rPr>
          <w:rFonts w:ascii="Garamond" w:cs="Garamond" w:eastAsia="Garamond" w:hAnsi="Garamond"/>
          <w:b w:val="1"/>
          <w:bCs w:val="1"/>
          <w:color w:val="000000"/>
          <w:rtl w:val="0"/>
        </w:rPr>
        <w:t xml:space="preserve">Encuesta Mensual de Servicios (EMS)</w:t>
      </w:r>
    </w:p>
    <w:p w:rsidR="00000000" w:rsidDel="00000000" w:rsidP="00000000" w:rsidRDefault="00000000" w:rsidRPr="00000000" w14:paraId="000001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both"/>
        <w:rPr>
          <w:rFonts w:ascii="Garamond" w:cs="Garamond" w:eastAsia="Garamond" w:hAnsi="Garamond"/>
          <w:i w:val="0"/>
          <w:iCs w:val="0"/>
          <w:smallCaps w:val="0"/>
          <w:strike w:val="0"/>
          <w:color w:val="000000"/>
          <w:sz w:val="23"/>
          <w:szCs w:val="23"/>
          <w:u w:val="none"/>
          <w:shd w:fill="auto" w:val="clear"/>
          <w:vertAlign w:val="baseline"/>
        </w:rPr>
      </w:pPr>
      <w:r w:rsidDel="00000000" w:rsidR="00000000" w:rsidRPr="00000000">
        <w:rPr>
          <w:rtl w:val="0"/>
        </w:rPr>
      </w:r>
    </w:p>
    <w:p w:rsidR="00000000" w:rsidDel="00000000" w:rsidP="00000000" w:rsidRDefault="00000000" w:rsidRPr="00000000" w14:paraId="00000188">
      <w:pPr>
        <w:spacing w:after="240" w:befor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En febrero de 2026, catorce de los dieciocho subsectores de servicios presentaron variación positiva en los ingresos totales, en comparación con febrero de 2025.</w:t>
      </w:r>
    </w:p>
    <w:p w:rsidR="00000000" w:rsidDel="00000000" w:rsidP="00000000" w:rsidRDefault="00000000" w:rsidRPr="00000000" w14:paraId="00000189">
      <w:pPr>
        <w:spacing w:after="240" w:befor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De acuerdo con la Encuesta Mensual de Servicios – EMS del DANE, los subsectores con mayores variaciones positivas en los ingresos nominales fueron: actividades de empleo, seguridad e investigación privada, servicios a edificios, con un crecimiento de 18,8%; correo y servicios de mensajería, con 17,8%; y publicidad, con 11,2%, en comparación con febrero de 2025.</w:t>
      </w:r>
    </w:p>
    <w:p w:rsidR="00000000" w:rsidDel="00000000" w:rsidP="00000000" w:rsidRDefault="00000000" w:rsidRPr="00000000" w14:paraId="0000018A">
      <w:pPr>
        <w:spacing w:after="240" w:befor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Los tres subsectores con variaciones negativas más representativas fueron: telecomunicaciones, con -3,2%; actividades de edición, con -2,9%; y actividades de centros de llamadas – Call center, con -1,3%, frente al mismo periodo del año anterior. </w:t>
      </w:r>
    </w:p>
    <w:p w:rsidR="00000000" w:rsidDel="00000000" w:rsidP="00000000" w:rsidRDefault="00000000" w:rsidRPr="00000000" w14:paraId="0000018B">
      <w:pPr>
        <w:spacing w:before="4" w:lineRule="auto"/>
        <w:jc w:val="center"/>
        <w:rPr>
          <w:rFonts w:ascii="Garamond" w:cs="Garamond" w:eastAsia="Garamond" w:hAnsi="Garamond"/>
          <w:sz w:val="25"/>
          <w:szCs w:val="25"/>
        </w:rPr>
      </w:pPr>
      <w:r w:rsidDel="00000000" w:rsidR="00000000" w:rsidRPr="00000000">
        <w:rPr>
          <w:rFonts w:ascii="Garamond" w:cs="Garamond" w:eastAsia="Garamond" w:hAnsi="Garamond"/>
          <w:sz w:val="25"/>
          <w:szCs w:val="25"/>
        </w:rPr>
        <w:drawing>
          <wp:inline distB="114300" distT="114300" distL="114300" distR="114300">
            <wp:extent cx="5178856" cy="3623336"/>
            <wp:effectExtent b="0" l="0" r="0" t="0"/>
            <wp:docPr id="7" name="image5.png"/>
            <a:graphic>
              <a:graphicData uri="http://schemas.openxmlformats.org/drawingml/2006/picture">
                <pic:pic>
                  <pic:nvPicPr>
                    <pic:cNvPr id="0" name="image5.png"/>
                    <pic:cNvPicPr preferRelativeResize="0"/>
                  </pic:nvPicPr>
                  <pic:blipFill>
                    <a:blip r:embed="rId30"/>
                    <a:srcRect b="0" l="0" r="0" t="0"/>
                    <a:stretch>
                      <a:fillRect/>
                    </a:stretch>
                  </pic:blipFill>
                  <pic:spPr>
                    <a:xfrm>
                      <a:off x="0" y="0"/>
                      <a:ext cx="5178856" cy="3623336"/>
                    </a:xfrm>
                    <a:prstGeom prst="rect"/>
                    <a:ln/>
                  </pic:spPr>
                </pic:pic>
              </a:graphicData>
            </a:graphic>
          </wp:inline>
        </w:drawing>
      </w:r>
      <w:r w:rsidDel="00000000" w:rsidR="00000000" w:rsidRPr="00000000">
        <w:rPr>
          <w:rtl w:val="0"/>
        </w:rPr>
      </w:r>
    </w:p>
    <w:p w:rsidR="00000000" w:rsidDel="00000000" w:rsidP="00000000" w:rsidRDefault="00000000" w:rsidRPr="00000000" w14:paraId="0000018C">
      <w:pPr>
        <w:spacing w:before="4" w:lineRule="auto"/>
        <w:jc w:val="center"/>
        <w:rPr>
          <w:rFonts w:ascii="Garamond" w:cs="Garamond" w:eastAsia="Garamond" w:hAnsi="Garamond"/>
          <w:sz w:val="16"/>
          <w:szCs w:val="16"/>
        </w:rPr>
      </w:pPr>
      <w:r w:rsidDel="00000000" w:rsidR="00000000" w:rsidRPr="00000000">
        <w:rPr>
          <w:rFonts w:ascii="Garamond" w:cs="Garamond" w:eastAsia="Garamond" w:hAnsi="Garamond"/>
          <w:sz w:val="16"/>
          <w:szCs w:val="16"/>
          <w:rtl w:val="0"/>
        </w:rPr>
        <w:t xml:space="preserve">Fuente: DANE – Encuesta Mensual de Servicios (EMS) febrero de 2026</w:t>
      </w:r>
      <w:r w:rsidDel="00000000" w:rsidR="00000000" w:rsidRPr="00000000">
        <w:rPr>
          <w:rFonts w:ascii="Garamond" w:cs="Garamond" w:eastAsia="Garamond" w:hAnsi="Garamond"/>
          <w:sz w:val="16"/>
          <w:szCs w:val="16"/>
          <w:vertAlign w:val="superscript"/>
        </w:rPr>
        <w:footnoteReference w:customMarkFollows="0" w:id="11"/>
      </w:r>
      <w:r w:rsidDel="00000000" w:rsidR="00000000" w:rsidRPr="00000000">
        <w:rPr>
          <w:rFonts w:ascii="Garamond" w:cs="Garamond" w:eastAsia="Garamond" w:hAnsi="Garamond"/>
          <w:sz w:val="16"/>
          <w:szCs w:val="16"/>
          <w:rtl w:val="0"/>
        </w:rPr>
        <w:t xml:space="preserve">.</w:t>
      </w:r>
    </w:p>
    <w:p w:rsidR="00000000" w:rsidDel="00000000" w:rsidP="00000000" w:rsidRDefault="00000000" w:rsidRPr="00000000" w14:paraId="0000018D">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2205"/>
        </w:tabs>
        <w:spacing w:after="0" w:before="5" w:line="240" w:lineRule="auto"/>
        <w:ind w:left="0" w:right="0" w:firstLine="0"/>
        <w:jc w:val="left"/>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Garamond" w:cs="Garamond" w:eastAsia="Garamond" w:hAnsi="Garamond"/>
          <w:b w:val="0"/>
          <w:bCs w:val="0"/>
          <w:i w:val="0"/>
          <w:iCs w:val="0"/>
          <w:smallCaps w:val="0"/>
          <w:strike w:val="0"/>
          <w:color w:val="000000"/>
          <w:sz w:val="12"/>
          <w:szCs w:val="12"/>
          <w:u w:val="none"/>
          <w:shd w:fill="auto" w:val="clear"/>
          <w:vertAlign w:val="baseline"/>
        </w:rPr>
      </w:pPr>
      <w:r w:rsidDel="00000000" w:rsidR="00000000" w:rsidRPr="00000000">
        <w:rPr>
          <w:rtl w:val="0"/>
        </w:rPr>
      </w:r>
    </w:p>
    <w:p w:rsidR="00000000" w:rsidDel="00000000" w:rsidP="00000000" w:rsidRDefault="00000000" w:rsidRPr="00000000" w14:paraId="000001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sz w:val="20"/>
          <w:szCs w:val="20"/>
        </w:rPr>
        <w:drawing>
          <wp:inline distB="114300" distT="114300" distL="114300" distR="114300">
            <wp:extent cx="6134100" cy="3454400"/>
            <wp:effectExtent b="0" l="0" r="0" t="0"/>
            <wp:docPr id="35" name="image29.png"/>
            <a:graphic>
              <a:graphicData uri="http://schemas.openxmlformats.org/drawingml/2006/picture">
                <pic:pic>
                  <pic:nvPicPr>
                    <pic:cNvPr id="0" name="image29.png"/>
                    <pic:cNvPicPr preferRelativeResize="0"/>
                  </pic:nvPicPr>
                  <pic:blipFill>
                    <a:blip r:embed="rId31"/>
                    <a:srcRect b="0" l="0" r="0" t="0"/>
                    <a:stretch>
                      <a:fillRect/>
                    </a:stretch>
                  </pic:blipFill>
                  <pic:spPr>
                    <a:xfrm>
                      <a:off x="0" y="0"/>
                      <a:ext cx="6134100" cy="3454400"/>
                    </a:xfrm>
                    <a:prstGeom prst="rect"/>
                    <a:ln/>
                  </pic:spPr>
                </pic:pic>
              </a:graphicData>
            </a:graphic>
          </wp:inline>
        </w:drawing>
      </w:r>
      <w:r w:rsidDel="00000000" w:rsidR="00000000" w:rsidRPr="00000000">
        <w:rPr>
          <w:rtl w:val="0"/>
        </w:rPr>
      </w:r>
    </w:p>
    <w:p w:rsidR="00000000" w:rsidDel="00000000" w:rsidP="00000000" w:rsidRDefault="00000000" w:rsidRPr="00000000" w14:paraId="000001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0" w:right="0" w:firstLine="0"/>
        <w:jc w:val="left"/>
        <w:rPr>
          <w:rFonts w:ascii="Garamond" w:cs="Garamond" w:eastAsia="Garamond" w:hAnsi="Garamond"/>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91">
      <w:pPr>
        <w:jc w:val="center"/>
        <w:rPr>
          <w:rFonts w:ascii="Garamond" w:cs="Garamond" w:eastAsia="Garamond" w:hAnsi="Garamond"/>
          <w:sz w:val="16"/>
          <w:szCs w:val="16"/>
        </w:rPr>
      </w:pPr>
      <w:r w:rsidDel="00000000" w:rsidR="00000000" w:rsidRPr="00000000">
        <w:rPr>
          <w:rFonts w:ascii="Garamond" w:cs="Garamond" w:eastAsia="Garamond" w:hAnsi="Garamond"/>
          <w:sz w:val="16"/>
          <w:szCs w:val="16"/>
          <w:rtl w:val="0"/>
        </w:rPr>
        <w:t xml:space="preserve">Fuente: DANE – Encuesta Mensual de Servicios (EMS) febrero de 2026</w:t>
      </w:r>
      <w:r w:rsidDel="00000000" w:rsidR="00000000" w:rsidRPr="00000000">
        <w:rPr>
          <w:rFonts w:ascii="Garamond" w:cs="Garamond" w:eastAsia="Garamond" w:hAnsi="Garamond"/>
          <w:sz w:val="16"/>
          <w:szCs w:val="16"/>
          <w:vertAlign w:val="superscript"/>
        </w:rPr>
        <w:footnoteReference w:customMarkFollows="0" w:id="12"/>
      </w:r>
      <w:r w:rsidDel="00000000" w:rsidR="00000000" w:rsidRPr="00000000">
        <w:rPr>
          <w:rFonts w:ascii="Garamond" w:cs="Garamond" w:eastAsia="Garamond" w:hAnsi="Garamond"/>
          <w:sz w:val="16"/>
          <w:szCs w:val="16"/>
          <w:rtl w:val="0"/>
        </w:rPr>
        <w:t xml:space="preserve">.</w:t>
      </w:r>
    </w:p>
    <w:p w:rsidR="00000000" w:rsidDel="00000000" w:rsidP="00000000" w:rsidRDefault="00000000" w:rsidRPr="00000000" w14:paraId="00000192">
      <w:pPr>
        <w:rPr>
          <w:rFonts w:ascii="Garamond" w:cs="Garamond" w:eastAsia="Garamond" w:hAnsi="Garamond"/>
          <w:sz w:val="16"/>
          <w:szCs w:val="16"/>
        </w:rPr>
      </w:pPr>
      <w:hyperlink r:id="rId32">
        <w:r w:rsidDel="00000000" w:rsidR="00000000" w:rsidRPr="00000000">
          <w:rPr>
            <w:rFonts w:ascii="Garamond" w:cs="Garamond" w:eastAsia="Garamond" w:hAnsi="Garamond"/>
            <w:color w:val="1155cc"/>
            <w:sz w:val="16"/>
            <w:szCs w:val="16"/>
            <w:u w:val="single"/>
            <w:rtl w:val="0"/>
          </w:rPr>
          <w:t xml:space="preserve">https://www.dane.gov.co/files/operaciones/EMS/bol-EMS-feb2026.pdf</w:t>
        </w:r>
      </w:hyperlink>
      <w:r w:rsidDel="00000000" w:rsidR="00000000" w:rsidRPr="00000000">
        <w:rPr>
          <w:rFonts w:ascii="Garamond" w:cs="Garamond" w:eastAsia="Garamond" w:hAnsi="Garamond"/>
          <w:sz w:val="16"/>
          <w:szCs w:val="16"/>
          <w:rtl w:val="0"/>
        </w:rPr>
        <w:tab/>
      </w:r>
    </w:p>
    <w:p w:rsidR="00000000" w:rsidDel="00000000" w:rsidP="00000000" w:rsidRDefault="00000000" w:rsidRPr="00000000" w14:paraId="000001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1"/>
          <w:bCs w:val="1"/>
          <w:i w:val="0"/>
          <w:iCs w:val="0"/>
          <w:smallCaps w:val="0"/>
          <w:strike w:val="0"/>
          <w:color w:val="000000"/>
          <w:sz w:val="23"/>
          <w:szCs w:val="23"/>
          <w:u w:val="none"/>
          <w:shd w:fill="auto" w:val="clear"/>
          <w:vertAlign w:val="baseline"/>
        </w:rPr>
      </w:pPr>
      <w:r w:rsidDel="00000000" w:rsidR="00000000" w:rsidRPr="00000000">
        <w:rPr>
          <w:rtl w:val="0"/>
        </w:rPr>
      </w:r>
    </w:p>
    <w:p w:rsidR="00000000" w:rsidDel="00000000" w:rsidP="00000000" w:rsidRDefault="00000000" w:rsidRPr="00000000" w14:paraId="00000195">
      <w:pPr>
        <w:pStyle w:val="Heading3"/>
        <w:numPr>
          <w:ilvl w:val="2"/>
          <w:numId w:val="9"/>
        </w:numPr>
        <w:spacing w:before="0" w:lineRule="auto"/>
        <w:ind w:left="838" w:hanging="720"/>
        <w:rPr>
          <w:rFonts w:ascii="Garamond" w:cs="Garamond" w:eastAsia="Garamond" w:hAnsi="Garamond"/>
          <w:b w:val="1"/>
          <w:bCs w:val="1"/>
          <w:color w:val="000000"/>
        </w:rPr>
      </w:pPr>
      <w:r w:rsidDel="00000000" w:rsidR="00000000" w:rsidRPr="00000000">
        <w:rPr>
          <w:rFonts w:ascii="Garamond" w:cs="Garamond" w:eastAsia="Garamond" w:hAnsi="Garamond"/>
          <w:b w:val="1"/>
          <w:bCs w:val="1"/>
          <w:color w:val="000000"/>
          <w:rtl w:val="0"/>
        </w:rPr>
        <w:t xml:space="preserve">Productos incluidos dentro del sector</w:t>
      </w:r>
    </w:p>
    <w:p w:rsidR="00000000" w:rsidDel="00000000" w:rsidP="00000000" w:rsidRDefault="00000000" w:rsidRPr="00000000" w14:paraId="000001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El sector servicios, también conocido como sector terciario, incluye una amplia gama de actividades que no producen bienes tangibles, sino que ofrecen servicios para satisfacer las necesidades de los consumidores y otras empresas. Estos servicios pueden ser muy diversos, desde transporte y comunicaciones hasta educación y salud, pasando por actividades financieras, comercio, turismo, y servicios profesionales.</w:t>
      </w:r>
    </w:p>
    <w:p w:rsidR="00000000" w:rsidDel="00000000" w:rsidP="00000000" w:rsidRDefault="00000000" w:rsidRPr="00000000" w14:paraId="000001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Las actividades que corresponden al sector servicios tienen las siguientes características:</w:t>
      </w:r>
    </w:p>
    <w:p w:rsidR="00000000" w:rsidDel="00000000" w:rsidP="00000000" w:rsidRDefault="00000000" w:rsidRPr="00000000" w14:paraId="000001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1"/>
          <w:bCs w:val="1"/>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1"/>
          <w:bCs w:val="1"/>
          <w:i w:val="0"/>
          <w:iCs w:val="0"/>
          <w:smallCaps w:val="0"/>
          <w:strike w:val="0"/>
          <w:color w:val="000000"/>
          <w:sz w:val="24"/>
          <w:szCs w:val="24"/>
          <w:u w:val="none"/>
          <w:shd w:fill="auto" w:val="clear"/>
          <w:vertAlign w:val="baseline"/>
          <w:rtl w:val="0"/>
        </w:rPr>
        <w:t xml:space="preserve">1. Son intangibles</w:t>
      </w:r>
    </w:p>
    <w:p w:rsidR="00000000" w:rsidDel="00000000" w:rsidP="00000000" w:rsidRDefault="00000000" w:rsidRPr="00000000" w14:paraId="000001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En primer lugar, la intangibilidad implica que los servicios no pueden ser percibidos por los sentidos. Por esa razón, no se pueden ver, tocar, oler o probar. Así, no se da una transferencia de bienes, pero el comprador sí recibe un beneficio.</w:t>
      </w:r>
    </w:p>
    <w:p w:rsidR="00000000" w:rsidDel="00000000" w:rsidP="00000000" w:rsidRDefault="00000000" w:rsidRPr="00000000" w14:paraId="000001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Sin duda, esta característica es básica o prioritaria para concebir algo como un servicio. Por ejemplo, cuando una persona compra servicios de telecomunicaciones, el beneficio que recibe es obtener señal para </w:t>
      </w:r>
      <w:r w:rsidDel="00000000" w:rsidR="00000000" w:rsidRPr="00000000">
        <w:rPr>
          <w:rFonts w:ascii="Garamond" w:cs="Garamond" w:eastAsia="Garamond" w:hAnsi="Garamond"/>
          <w:sz w:val="24"/>
          <w:szCs w:val="24"/>
          <w:rtl w:val="0"/>
        </w:rPr>
        <w:t xml:space="preserve">poder comunicarse</w:t>
      </w: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1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1"/>
          <w:bCs w:val="1"/>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1"/>
          <w:bCs w:val="1"/>
          <w:i w:val="0"/>
          <w:iCs w:val="0"/>
          <w:smallCaps w:val="0"/>
          <w:strike w:val="0"/>
          <w:color w:val="000000"/>
          <w:sz w:val="24"/>
          <w:szCs w:val="24"/>
          <w:u w:val="none"/>
          <w:shd w:fill="auto" w:val="clear"/>
          <w:vertAlign w:val="baseline"/>
          <w:rtl w:val="0"/>
        </w:rPr>
        <w:t xml:space="preserve">2. Son heterogéneos</w:t>
      </w:r>
    </w:p>
    <w:p w:rsidR="00000000" w:rsidDel="00000000" w:rsidP="00000000" w:rsidRDefault="00000000" w:rsidRPr="00000000" w14:paraId="000001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En segundo lugar, la heterogeneidad se refiere a que los servicios no pueden ofrecerse en forma estandarizada. Al recibir un servicio, el beneficio recibido es único y diferente. Esto se produce porque los servicios los puede incluso ofrecer una mism</w:t>
      </w:r>
      <w:r w:rsidDel="00000000" w:rsidR="00000000" w:rsidRPr="00000000">
        <w:rPr>
          <w:rFonts w:ascii="Garamond" w:cs="Garamond" w:eastAsia="Garamond" w:hAnsi="Garamond"/>
          <w:b w:val="0"/>
          <w:bCs w:val="0"/>
          <w:i w:val="0"/>
          <w:iCs w:val="0"/>
          <w:smallCaps w:val="0"/>
          <w:strike w:val="0"/>
          <w:sz w:val="24"/>
          <w:szCs w:val="24"/>
          <w:shd w:fill="auto" w:val="clear"/>
          <w:vertAlign w:val="baseline"/>
          <w:rtl w:val="0"/>
        </w:rPr>
        <w:t xml:space="preserve">a </w:t>
      </w:r>
      <w:hyperlink r:id="rId33">
        <w:r w:rsidDel="00000000" w:rsidR="00000000" w:rsidRPr="00000000">
          <w:rPr>
            <w:rFonts w:ascii="Garamond" w:cs="Garamond" w:eastAsia="Garamond" w:hAnsi="Garamond"/>
            <w:b w:val="0"/>
            <w:bCs w:val="0"/>
            <w:i w:val="0"/>
            <w:iCs w:val="0"/>
            <w:smallCaps w:val="0"/>
            <w:strike w:val="0"/>
            <w:sz w:val="24"/>
            <w:szCs w:val="24"/>
            <w:shd w:fill="auto" w:val="clear"/>
            <w:vertAlign w:val="baseline"/>
            <w:rtl w:val="0"/>
          </w:rPr>
          <w:t xml:space="preserve">empresa</w:t>
        </w:r>
      </w:hyperlink>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 pero los brinda una persona diferente.</w:t>
      </w:r>
    </w:p>
    <w:p w:rsidR="00000000" w:rsidDel="00000000" w:rsidP="00000000" w:rsidRDefault="00000000" w:rsidRPr="00000000" w14:paraId="000001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Para poder ejemplificar, podemos mencionar el caso de una persona que asiste frecuentemente a un salón de belleza a realizarse un corte de cabello. El resultado final de cada corte dependerá de la persona que atienda al solicitante del servicio.</w:t>
      </w:r>
    </w:p>
    <w:p w:rsidR="00000000" w:rsidDel="00000000" w:rsidP="00000000" w:rsidRDefault="00000000" w:rsidRPr="00000000" w14:paraId="000001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1"/>
          <w:bCs w:val="1"/>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1"/>
          <w:bCs w:val="1"/>
          <w:i w:val="0"/>
          <w:iCs w:val="0"/>
          <w:smallCaps w:val="0"/>
          <w:strike w:val="0"/>
          <w:color w:val="000000"/>
          <w:sz w:val="24"/>
          <w:szCs w:val="24"/>
          <w:u w:val="none"/>
          <w:shd w:fill="auto" w:val="clear"/>
          <w:vertAlign w:val="baseline"/>
          <w:rtl w:val="0"/>
        </w:rPr>
        <w:t xml:space="preserve">3. Son inseparables</w:t>
      </w:r>
    </w:p>
    <w:p w:rsidR="00000000" w:rsidDel="00000000" w:rsidP="00000000" w:rsidRDefault="00000000" w:rsidRPr="00000000" w14:paraId="000001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bCs w:val="0"/>
          <w:i w:val="0"/>
          <w:iCs w:val="0"/>
          <w:smallCaps w:val="0"/>
          <w:strike w:val="0"/>
          <w:sz w:val="24"/>
          <w:szCs w:val="24"/>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En tercer lugar, la inseparabilidad de los servicios se refiere a que es imposible separar el servicio de la persona que lo proporciona. Se podría decir que tanto la </w:t>
      </w:r>
      <w:hyperlink r:id="rId34">
        <w:r w:rsidDel="00000000" w:rsidR="00000000" w:rsidRPr="00000000">
          <w:rPr>
            <w:rFonts w:ascii="Garamond" w:cs="Garamond" w:eastAsia="Garamond" w:hAnsi="Garamond"/>
            <w:b w:val="0"/>
            <w:bCs w:val="0"/>
            <w:i w:val="0"/>
            <w:iCs w:val="0"/>
            <w:smallCaps w:val="0"/>
            <w:strike w:val="0"/>
            <w:sz w:val="24"/>
            <w:szCs w:val="24"/>
            <w:shd w:fill="auto" w:val="clear"/>
            <w:vertAlign w:val="baseline"/>
            <w:rtl w:val="0"/>
          </w:rPr>
          <w:t xml:space="preserve">producción</w:t>
        </w:r>
      </w:hyperlink>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 como el consumo del servicio se dan de forma simultánea. El servicio se proporciona con la </w:t>
      </w:r>
      <w:r w:rsidDel="00000000" w:rsidR="00000000" w:rsidRPr="00000000">
        <w:rPr>
          <w:rFonts w:ascii="Garamond" w:cs="Garamond" w:eastAsia="Garamond" w:hAnsi="Garamond"/>
          <w:b w:val="0"/>
          <w:bCs w:val="0"/>
          <w:i w:val="0"/>
          <w:iCs w:val="0"/>
          <w:smallCaps w:val="0"/>
          <w:strike w:val="0"/>
          <w:color w:val="000000"/>
          <w:sz w:val="24"/>
          <w:szCs w:val="24"/>
          <w:shd w:fill="auto" w:val="clear"/>
          <w:vertAlign w:val="baseline"/>
          <w:rtl w:val="0"/>
        </w:rPr>
        <w:t xml:space="preserve">prese</w:t>
      </w:r>
      <w:r w:rsidDel="00000000" w:rsidR="00000000" w:rsidRPr="00000000">
        <w:rPr>
          <w:rFonts w:ascii="Garamond" w:cs="Garamond" w:eastAsia="Garamond" w:hAnsi="Garamond"/>
          <w:b w:val="0"/>
          <w:bCs w:val="0"/>
          <w:i w:val="0"/>
          <w:iCs w:val="0"/>
          <w:smallCaps w:val="0"/>
          <w:strike w:val="0"/>
          <w:sz w:val="24"/>
          <w:szCs w:val="24"/>
          <w:shd w:fill="auto" w:val="clear"/>
          <w:vertAlign w:val="baseline"/>
          <w:rtl w:val="0"/>
        </w:rPr>
        <w:t xml:space="preserve">ncia del </w:t>
      </w:r>
      <w:hyperlink r:id="rId35">
        <w:r w:rsidDel="00000000" w:rsidR="00000000" w:rsidRPr="00000000">
          <w:rPr>
            <w:rFonts w:ascii="Garamond" w:cs="Garamond" w:eastAsia="Garamond" w:hAnsi="Garamond"/>
            <w:b w:val="0"/>
            <w:bCs w:val="0"/>
            <w:i w:val="0"/>
            <w:iCs w:val="0"/>
            <w:smallCaps w:val="0"/>
            <w:strike w:val="0"/>
            <w:sz w:val="24"/>
            <w:szCs w:val="24"/>
            <w:shd w:fill="auto" w:val="clear"/>
            <w:vertAlign w:val="baseline"/>
            <w:rtl w:val="0"/>
          </w:rPr>
          <w:t xml:space="preserve">cliente</w:t>
        </w:r>
      </w:hyperlink>
      <w:r w:rsidDel="00000000" w:rsidR="00000000" w:rsidRPr="00000000">
        <w:rPr>
          <w:rFonts w:ascii="Garamond" w:cs="Garamond" w:eastAsia="Garamond" w:hAnsi="Garamond"/>
          <w:b w:val="0"/>
          <w:bCs w:val="0"/>
          <w:i w:val="0"/>
          <w:iCs w:val="0"/>
          <w:smallCaps w:val="0"/>
          <w:strike w:val="0"/>
          <w:sz w:val="24"/>
          <w:szCs w:val="24"/>
          <w:shd w:fill="auto" w:val="clear"/>
          <w:vertAlign w:val="baseline"/>
          <w:rtl w:val="0"/>
        </w:rPr>
        <w:t xml:space="preserve">.</w:t>
      </w:r>
    </w:p>
    <w:p w:rsidR="00000000" w:rsidDel="00000000" w:rsidP="00000000" w:rsidRDefault="00000000" w:rsidRPr="00000000" w14:paraId="000001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Similarmente, para ilustrar esta característica, pensemos en los servicios dentales. Un dentista no puede ofrecer sus servicios si el cliente no se encuentra presente.</w:t>
      </w:r>
    </w:p>
    <w:p w:rsidR="00000000" w:rsidDel="00000000" w:rsidP="00000000" w:rsidRDefault="00000000" w:rsidRPr="00000000" w14:paraId="000001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1"/>
          <w:bCs w:val="1"/>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1"/>
          <w:bCs w:val="1"/>
          <w:i w:val="0"/>
          <w:iCs w:val="0"/>
          <w:smallCaps w:val="0"/>
          <w:strike w:val="0"/>
          <w:color w:val="000000"/>
          <w:sz w:val="24"/>
          <w:szCs w:val="24"/>
          <w:u w:val="none"/>
          <w:shd w:fill="auto" w:val="clear"/>
          <w:vertAlign w:val="baseline"/>
          <w:rtl w:val="0"/>
        </w:rPr>
        <w:t xml:space="preserve">4. Son perecederos</w:t>
      </w:r>
    </w:p>
    <w:p w:rsidR="00000000" w:rsidDel="00000000" w:rsidP="00000000" w:rsidRDefault="00000000" w:rsidRPr="00000000" w14:paraId="000001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En cuarto lugar, los servicios son perecederos dado que no se pueden embodegar o almacenar, puesto que la producción y consumo son simultáneos. En otras palabras, un servicio solo sirve si se consume en el momento que se están produciendo.</w:t>
      </w:r>
    </w:p>
    <w:p w:rsidR="00000000" w:rsidDel="00000000" w:rsidP="00000000" w:rsidRDefault="00000000" w:rsidRPr="00000000" w14:paraId="000001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Por ejemplo, un médico que realiza una operación no puede operar ni antes, ni después; sino únicamente cuando sea necesario o requerido.</w:t>
      </w:r>
    </w:p>
    <w:p w:rsidR="00000000" w:rsidDel="00000000" w:rsidP="00000000" w:rsidRDefault="00000000" w:rsidRPr="00000000" w14:paraId="000001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1"/>
          <w:bCs w:val="1"/>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1"/>
          <w:bCs w:val="1"/>
          <w:i w:val="0"/>
          <w:iCs w:val="0"/>
          <w:smallCaps w:val="0"/>
          <w:strike w:val="0"/>
          <w:color w:val="000000"/>
          <w:sz w:val="24"/>
          <w:szCs w:val="24"/>
          <w:u w:val="none"/>
          <w:shd w:fill="auto" w:val="clear"/>
          <w:vertAlign w:val="baseline"/>
          <w:rtl w:val="0"/>
        </w:rPr>
        <w:t xml:space="preserve">5. No se adquieren en propiedad</w:t>
      </w:r>
    </w:p>
    <w:p w:rsidR="00000000" w:rsidDel="00000000" w:rsidP="00000000" w:rsidRDefault="00000000" w:rsidRPr="00000000" w14:paraId="000001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Finalmente, cuando se compra un servicio, lo que se adquiere es el derecho a recibir un beneficio o una prestación. Pero nunca se puede adquir</w:t>
      </w:r>
      <w:r w:rsidDel="00000000" w:rsidR="00000000" w:rsidRPr="00000000">
        <w:rPr>
          <w:rFonts w:ascii="Garamond" w:cs="Garamond" w:eastAsia="Garamond" w:hAnsi="Garamond"/>
          <w:b w:val="0"/>
          <w:bCs w:val="0"/>
          <w:i w:val="0"/>
          <w:iCs w:val="0"/>
          <w:smallCaps w:val="0"/>
          <w:strike w:val="0"/>
          <w:sz w:val="24"/>
          <w:szCs w:val="24"/>
          <w:shd w:fill="auto" w:val="clear"/>
          <w:vertAlign w:val="baseline"/>
          <w:rtl w:val="0"/>
        </w:rPr>
        <w:t xml:space="preserve">ir la </w:t>
      </w:r>
      <w:hyperlink r:id="rId36">
        <w:r w:rsidDel="00000000" w:rsidR="00000000" w:rsidRPr="00000000">
          <w:rPr>
            <w:rFonts w:ascii="Garamond" w:cs="Garamond" w:eastAsia="Garamond" w:hAnsi="Garamond"/>
            <w:b w:val="0"/>
            <w:bCs w:val="0"/>
            <w:i w:val="0"/>
            <w:iCs w:val="0"/>
            <w:smallCaps w:val="0"/>
            <w:strike w:val="0"/>
            <w:sz w:val="24"/>
            <w:szCs w:val="24"/>
            <w:shd w:fill="auto" w:val="clear"/>
            <w:vertAlign w:val="baseline"/>
            <w:rtl w:val="0"/>
          </w:rPr>
          <w:t xml:space="preserve">propiedad</w:t>
        </w:r>
      </w:hyperlink>
      <w:r w:rsidDel="00000000" w:rsidR="00000000" w:rsidRPr="00000000">
        <w:rPr>
          <w:rFonts w:ascii="Garamond" w:cs="Garamond" w:eastAsia="Garamond" w:hAnsi="Garamond"/>
          <w:b w:val="0"/>
          <w:bCs w:val="0"/>
          <w:i w:val="0"/>
          <w:iCs w:val="0"/>
          <w:smallCaps w:val="0"/>
          <w:strike w:val="0"/>
          <w:sz w:val="24"/>
          <w:szCs w:val="24"/>
          <w:shd w:fill="auto" w:val="clear"/>
          <w:vertAlign w:val="baseline"/>
          <w:rtl w:val="0"/>
        </w:rPr>
        <w:t xml:space="preserve"> d</w:t>
      </w: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e ese beneficio. El goce del beneficio solo tiene duración mientras se está dando la prestación del servicio. Por tanto, el cliente solo se queda con la experiencia que vivió.</w:t>
      </w:r>
    </w:p>
    <w:p w:rsidR="00000000" w:rsidDel="00000000" w:rsidP="00000000" w:rsidRDefault="00000000" w:rsidRPr="00000000" w14:paraId="000001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En efecto, sería el caso de una persona que va al cine, y al final de la función solo queda la satisfacción del beneficio recibido.</w:t>
      </w:r>
    </w:p>
    <w:p w:rsidR="00000000" w:rsidDel="00000000" w:rsidP="00000000" w:rsidRDefault="00000000" w:rsidRPr="00000000" w14:paraId="000001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1"/>
          <w:bCs w:val="1"/>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1"/>
          <w:bCs w:val="1"/>
          <w:i w:val="0"/>
          <w:iCs w:val="0"/>
          <w:smallCaps w:val="0"/>
          <w:strike w:val="0"/>
          <w:color w:val="000000"/>
          <w:sz w:val="24"/>
          <w:szCs w:val="24"/>
          <w:u w:val="none"/>
          <w:shd w:fill="auto" w:val="clear"/>
          <w:vertAlign w:val="baseline"/>
          <w:rtl w:val="0"/>
        </w:rPr>
        <w:t xml:space="preserve">Importancia del sector servicios</w:t>
      </w:r>
    </w:p>
    <w:p w:rsidR="00000000" w:rsidDel="00000000" w:rsidP="00000000" w:rsidRDefault="00000000" w:rsidRPr="00000000" w14:paraId="000001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1"/>
          <w:bCs w:val="1"/>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Este sector es </w:t>
      </w:r>
      <w:r w:rsidDel="00000000" w:rsidR="00000000" w:rsidRPr="00000000">
        <w:rPr>
          <w:rFonts w:ascii="Garamond" w:cs="Garamond" w:eastAsia="Garamond" w:hAnsi="Garamond"/>
          <w:b w:val="1"/>
          <w:bCs w:val="1"/>
          <w:i w:val="0"/>
          <w:iCs w:val="0"/>
          <w:smallCaps w:val="0"/>
          <w:strike w:val="0"/>
          <w:color w:val="000000"/>
          <w:sz w:val="24"/>
          <w:szCs w:val="24"/>
          <w:u w:val="none"/>
          <w:shd w:fill="auto" w:val="clear"/>
          <w:vertAlign w:val="baseline"/>
          <w:rtl w:val="0"/>
        </w:rPr>
        <w:t xml:space="preserve">clave para la economía</w:t>
      </w: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 por varios motivos:</w:t>
      </w:r>
    </w:p>
    <w:p w:rsidR="00000000" w:rsidDel="00000000" w:rsidP="00000000" w:rsidRDefault="00000000" w:rsidRPr="00000000" w14:paraId="000001BB">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Genera gran parte del </w:t>
      </w:r>
      <w:r w:rsidDel="00000000" w:rsidR="00000000" w:rsidRPr="00000000">
        <w:rPr>
          <w:rFonts w:ascii="Garamond" w:cs="Garamond" w:eastAsia="Garamond" w:hAnsi="Garamond"/>
          <w:b w:val="1"/>
          <w:bCs w:val="1"/>
          <w:i w:val="0"/>
          <w:iCs w:val="0"/>
          <w:smallCaps w:val="0"/>
          <w:strike w:val="0"/>
          <w:color w:val="000000"/>
          <w:sz w:val="24"/>
          <w:szCs w:val="24"/>
          <w:u w:val="none"/>
          <w:shd w:fill="auto" w:val="clear"/>
          <w:vertAlign w:val="baseline"/>
          <w:rtl w:val="0"/>
        </w:rPr>
        <w:t xml:space="preserve">empleo</w:t>
      </w: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1BC">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Es el motor de muchas </w:t>
      </w:r>
      <w:r w:rsidDel="00000000" w:rsidR="00000000" w:rsidRPr="00000000">
        <w:rPr>
          <w:rFonts w:ascii="Garamond" w:cs="Garamond" w:eastAsia="Garamond" w:hAnsi="Garamond"/>
          <w:b w:val="1"/>
          <w:bCs w:val="1"/>
          <w:i w:val="0"/>
          <w:iCs w:val="0"/>
          <w:smallCaps w:val="0"/>
          <w:strike w:val="0"/>
          <w:color w:val="000000"/>
          <w:sz w:val="24"/>
          <w:szCs w:val="24"/>
          <w:u w:val="none"/>
          <w:shd w:fill="auto" w:val="clear"/>
          <w:vertAlign w:val="baseline"/>
          <w:rtl w:val="0"/>
        </w:rPr>
        <w:t xml:space="preserve">inversiones nacionales e internacionales</w:t>
      </w: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1BD">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Permite el </w:t>
      </w:r>
      <w:r w:rsidDel="00000000" w:rsidR="00000000" w:rsidRPr="00000000">
        <w:rPr>
          <w:rFonts w:ascii="Garamond" w:cs="Garamond" w:eastAsia="Garamond" w:hAnsi="Garamond"/>
          <w:b w:val="1"/>
          <w:bCs w:val="1"/>
          <w:i w:val="0"/>
          <w:iCs w:val="0"/>
          <w:smallCaps w:val="0"/>
          <w:strike w:val="0"/>
          <w:color w:val="000000"/>
          <w:sz w:val="24"/>
          <w:szCs w:val="24"/>
          <w:u w:val="none"/>
          <w:shd w:fill="auto" w:val="clear"/>
          <w:vertAlign w:val="baseline"/>
          <w:rtl w:val="0"/>
        </w:rPr>
        <w:t xml:space="preserve">funcionamiento del resto de sectores</w:t>
      </w: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 (primario y secundario).</w:t>
      </w:r>
    </w:p>
    <w:p w:rsidR="00000000" w:rsidDel="00000000" w:rsidP="00000000" w:rsidRDefault="00000000" w:rsidRPr="00000000" w14:paraId="000001BE">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Aumenta la </w:t>
      </w:r>
      <w:hyperlink r:id="rId37">
        <w:r w:rsidDel="00000000" w:rsidR="00000000" w:rsidRPr="00000000">
          <w:rPr>
            <w:rFonts w:ascii="Garamond" w:cs="Garamond" w:eastAsia="Garamond" w:hAnsi="Garamond"/>
            <w:b w:val="1"/>
            <w:bCs w:val="1"/>
            <w:i w:val="0"/>
            <w:iCs w:val="0"/>
            <w:smallCaps w:val="0"/>
            <w:strike w:val="0"/>
            <w:color w:val="0000ff"/>
            <w:sz w:val="24"/>
            <w:szCs w:val="24"/>
            <w:u w:val="single"/>
            <w:shd w:fill="auto" w:val="clear"/>
            <w:vertAlign w:val="baseline"/>
            <w:rtl w:val="0"/>
          </w:rPr>
          <w:t xml:space="preserve">competitividad</w:t>
        </w:r>
      </w:hyperlink>
      <w:r w:rsidDel="00000000" w:rsidR="00000000" w:rsidRPr="00000000">
        <w:rPr>
          <w:rFonts w:ascii="Garamond" w:cs="Garamond" w:eastAsia="Garamond" w:hAnsi="Garamond"/>
          <w:b w:val="1"/>
          <w:bCs w:val="1"/>
          <w:i w:val="0"/>
          <w:iCs w:val="0"/>
          <w:smallCaps w:val="0"/>
          <w:strike w:val="0"/>
          <w:color w:val="000000"/>
          <w:sz w:val="24"/>
          <w:szCs w:val="24"/>
          <w:u w:val="none"/>
          <w:shd w:fill="auto" w:val="clear"/>
          <w:vertAlign w:val="baseline"/>
          <w:rtl w:val="0"/>
        </w:rPr>
        <w:t xml:space="preserve"> y el desarrollo</w:t>
      </w: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 económico.</w:t>
      </w:r>
    </w:p>
    <w:p w:rsidR="00000000" w:rsidDel="00000000" w:rsidP="00000000" w:rsidRDefault="00000000" w:rsidRPr="00000000" w14:paraId="000001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C1">
      <w:pPr>
        <w:pStyle w:val="Heading3"/>
        <w:numPr>
          <w:ilvl w:val="2"/>
          <w:numId w:val="9"/>
        </w:numPr>
        <w:spacing w:before="0" w:lineRule="auto"/>
        <w:ind w:left="838" w:hanging="720"/>
        <w:rPr>
          <w:rFonts w:ascii="Garamond" w:cs="Garamond" w:eastAsia="Garamond" w:hAnsi="Garamond"/>
          <w:b w:val="1"/>
          <w:bCs w:val="1"/>
          <w:color w:val="000000"/>
        </w:rPr>
      </w:pPr>
      <w:r w:rsidDel="00000000" w:rsidR="00000000" w:rsidRPr="00000000">
        <w:rPr>
          <w:rFonts w:ascii="Garamond" w:cs="Garamond" w:eastAsia="Garamond" w:hAnsi="Garamond"/>
          <w:b w:val="1"/>
          <w:bCs w:val="1"/>
          <w:color w:val="000000"/>
          <w:rtl w:val="0"/>
        </w:rPr>
        <w:t xml:space="preserve">AGENTES QUE COMPONEN EL SECTOR </w:t>
      </w:r>
    </w:p>
    <w:p w:rsidR="00000000" w:rsidDel="00000000" w:rsidP="00000000" w:rsidRDefault="00000000" w:rsidRPr="00000000" w14:paraId="000001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1"/>
          <w:bCs w:val="1"/>
          <w:i w:val="0"/>
          <w:iCs w:val="0"/>
          <w:smallCaps w:val="0"/>
          <w:strike w:val="0"/>
          <w:color w:val="000000"/>
          <w:sz w:val="24"/>
          <w:szCs w:val="24"/>
          <w:u w:val="none"/>
          <w:shd w:fill="auto" w:val="clear"/>
          <w:vertAlign w:val="baseline"/>
          <w:rtl w:val="0"/>
        </w:rPr>
        <w:t xml:space="preserve">Comercio:</w:t>
      </w:r>
      <w:r w:rsidDel="00000000" w:rsidR="00000000" w:rsidRPr="00000000">
        <w:rPr>
          <w:rtl w:val="0"/>
        </w:rPr>
      </w:r>
    </w:p>
    <w:p w:rsidR="00000000" w:rsidDel="00000000" w:rsidP="00000000" w:rsidRDefault="00000000" w:rsidRPr="00000000" w14:paraId="000001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Incluye tanto el comercio mayorista (ventas a granel a otras empresas) como el minorista (ventas al público), así como las franquicias. </w:t>
      </w:r>
    </w:p>
    <w:p w:rsidR="00000000" w:rsidDel="00000000" w:rsidP="00000000" w:rsidRDefault="00000000" w:rsidRPr="00000000" w14:paraId="000001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1"/>
          <w:bCs w:val="1"/>
          <w:i w:val="0"/>
          <w:iCs w:val="0"/>
          <w:smallCaps w:val="0"/>
          <w:strike w:val="0"/>
          <w:color w:val="000000"/>
          <w:sz w:val="24"/>
          <w:szCs w:val="24"/>
          <w:u w:val="none"/>
          <w:shd w:fill="auto" w:val="clear"/>
          <w:vertAlign w:val="baseline"/>
          <w:rtl w:val="0"/>
        </w:rPr>
        <w:t xml:space="preserve">Actividades financieras:</w:t>
      </w:r>
      <w:r w:rsidDel="00000000" w:rsidR="00000000" w:rsidRPr="00000000">
        <w:rPr>
          <w:rtl w:val="0"/>
        </w:rPr>
      </w:r>
    </w:p>
    <w:p w:rsidR="00000000" w:rsidDel="00000000" w:rsidP="00000000" w:rsidRDefault="00000000" w:rsidRPr="00000000" w14:paraId="000001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Banca, seguros, gestión de capital e inversiones inmobiliarias son ejemplos de este tipo de servicios. </w:t>
      </w:r>
    </w:p>
    <w:p w:rsidR="00000000" w:rsidDel="00000000" w:rsidP="00000000" w:rsidRDefault="00000000" w:rsidRPr="00000000" w14:paraId="000001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1"/>
          <w:bCs w:val="1"/>
          <w:i w:val="0"/>
          <w:iCs w:val="0"/>
          <w:smallCaps w:val="0"/>
          <w:strike w:val="0"/>
          <w:color w:val="000000"/>
          <w:sz w:val="24"/>
          <w:szCs w:val="24"/>
          <w:u w:val="none"/>
          <w:shd w:fill="auto" w:val="clear"/>
          <w:vertAlign w:val="baseline"/>
          <w:rtl w:val="0"/>
        </w:rPr>
        <w:t xml:space="preserve">Servicios personales:</w:t>
      </w:r>
      <w:r w:rsidDel="00000000" w:rsidR="00000000" w:rsidRPr="00000000">
        <w:rPr>
          <w:rtl w:val="0"/>
        </w:rPr>
      </w:r>
    </w:p>
    <w:p w:rsidR="00000000" w:rsidDel="00000000" w:rsidP="00000000" w:rsidRDefault="00000000" w:rsidRPr="00000000" w14:paraId="000001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Este grupo abarca una amplia variedad de actividades, incluyendo servicios de bienestar (educación, salud, asistencia social), así como servicios más específicos como peluquería o cuidado personal. </w:t>
      </w:r>
    </w:p>
    <w:p w:rsidR="00000000" w:rsidDel="00000000" w:rsidP="00000000" w:rsidRDefault="00000000" w:rsidRPr="00000000" w14:paraId="000001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1"/>
          <w:bCs w:val="1"/>
          <w:i w:val="0"/>
          <w:iCs w:val="0"/>
          <w:smallCaps w:val="0"/>
          <w:strike w:val="0"/>
          <w:color w:val="000000"/>
          <w:sz w:val="24"/>
          <w:szCs w:val="24"/>
          <w:u w:val="none"/>
          <w:shd w:fill="auto" w:val="clear"/>
          <w:vertAlign w:val="baseline"/>
          <w:rtl w:val="0"/>
        </w:rPr>
        <w:t xml:space="preserve">Servicios a empresas:</w:t>
      </w:r>
      <w:r w:rsidDel="00000000" w:rsidR="00000000" w:rsidRPr="00000000">
        <w:rPr>
          <w:rtl w:val="0"/>
        </w:rPr>
      </w:r>
    </w:p>
    <w:p w:rsidR="00000000" w:rsidDel="00000000" w:rsidP="00000000" w:rsidRDefault="00000000" w:rsidRPr="00000000" w14:paraId="000001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Asesoramiento legal, consultoría, publicidad, servicios informáticos, gestión y administración de empresas, entre otros, son ejemplos de servicios dirigidos a otras empresas. </w:t>
      </w:r>
    </w:p>
    <w:p w:rsidR="00000000" w:rsidDel="00000000" w:rsidP="00000000" w:rsidRDefault="00000000" w:rsidRPr="00000000" w14:paraId="000001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1"/>
          <w:bCs w:val="1"/>
          <w:i w:val="0"/>
          <w:iCs w:val="0"/>
          <w:smallCaps w:val="0"/>
          <w:strike w:val="0"/>
          <w:color w:val="000000"/>
          <w:sz w:val="24"/>
          <w:szCs w:val="24"/>
          <w:u w:val="none"/>
          <w:shd w:fill="auto" w:val="clear"/>
          <w:vertAlign w:val="baseline"/>
          <w:rtl w:val="0"/>
        </w:rPr>
        <w:t xml:space="preserve">Función pública:</w:t>
      </w:r>
      <w:r w:rsidDel="00000000" w:rsidR="00000000" w:rsidRPr="00000000">
        <w:rPr>
          <w:rtl w:val="0"/>
        </w:rPr>
      </w:r>
    </w:p>
    <w:p w:rsidR="00000000" w:rsidDel="00000000" w:rsidP="00000000" w:rsidRDefault="00000000" w:rsidRPr="00000000" w14:paraId="000001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Administración pública, actividades políticas, seguridad (policía, bomberos, defensa), y servicios comunitarios son parte de este grupo. </w:t>
      </w:r>
    </w:p>
    <w:p w:rsidR="00000000" w:rsidDel="00000000" w:rsidP="00000000" w:rsidRDefault="00000000" w:rsidRPr="00000000" w14:paraId="000001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1"/>
          <w:bCs w:val="1"/>
          <w:i w:val="0"/>
          <w:iCs w:val="0"/>
          <w:smallCaps w:val="0"/>
          <w:strike w:val="0"/>
          <w:color w:val="000000"/>
          <w:sz w:val="24"/>
          <w:szCs w:val="24"/>
          <w:u w:val="none"/>
          <w:shd w:fill="auto" w:val="clear"/>
          <w:vertAlign w:val="baseline"/>
          <w:rtl w:val="0"/>
        </w:rPr>
        <w:t xml:space="preserve">Hotelería y turismo:</w:t>
      </w:r>
      <w:r w:rsidDel="00000000" w:rsidR="00000000" w:rsidRPr="00000000">
        <w:rPr>
          <w:rtl w:val="0"/>
        </w:rPr>
      </w:r>
    </w:p>
    <w:p w:rsidR="00000000" w:rsidDel="00000000" w:rsidP="00000000" w:rsidRDefault="00000000" w:rsidRPr="00000000" w14:paraId="000001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Hoteles, restaurantes, servicios turísticos y de ocio.</w:t>
      </w:r>
    </w:p>
    <w:p w:rsidR="00000000" w:rsidDel="00000000" w:rsidP="00000000" w:rsidRDefault="00000000" w:rsidRPr="00000000" w14:paraId="000001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1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1"/>
          <w:bCs w:val="1"/>
          <w:i w:val="0"/>
          <w:iCs w:val="0"/>
          <w:smallCaps w:val="0"/>
          <w:strike w:val="0"/>
          <w:color w:val="000000"/>
          <w:sz w:val="24"/>
          <w:szCs w:val="24"/>
          <w:u w:val="none"/>
          <w:shd w:fill="auto" w:val="clear"/>
          <w:vertAlign w:val="baseline"/>
          <w:rtl w:val="0"/>
        </w:rPr>
        <w:t xml:space="preserve">Transporte y comunicaciones:</w:t>
      </w:r>
      <w:r w:rsidDel="00000000" w:rsidR="00000000" w:rsidRPr="00000000">
        <w:rPr>
          <w:rtl w:val="0"/>
        </w:rPr>
      </w:r>
    </w:p>
    <w:p w:rsidR="00000000" w:rsidDel="00000000" w:rsidP="00000000" w:rsidRDefault="00000000" w:rsidRPr="00000000" w14:paraId="000001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Incluye el transporte de personas y mercancías, así como las comunicaciones (telefonía, internet, medios de comunicación). </w:t>
      </w:r>
    </w:p>
    <w:p w:rsidR="00000000" w:rsidDel="00000000" w:rsidP="00000000" w:rsidRDefault="00000000" w:rsidRPr="00000000" w14:paraId="000001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1"/>
          <w:bCs w:val="1"/>
          <w:i w:val="0"/>
          <w:iCs w:val="0"/>
          <w:smallCaps w:val="0"/>
          <w:strike w:val="0"/>
          <w:color w:val="000000"/>
          <w:sz w:val="24"/>
          <w:szCs w:val="24"/>
          <w:u w:val="none"/>
          <w:shd w:fill="auto" w:val="clear"/>
          <w:vertAlign w:val="baseline"/>
          <w:rtl w:val="0"/>
        </w:rPr>
        <w:t xml:space="preserve">Servicios sociales:</w:t>
      </w:r>
      <w:r w:rsidDel="00000000" w:rsidR="00000000" w:rsidRPr="00000000">
        <w:rPr>
          <w:rtl w:val="0"/>
        </w:rPr>
      </w:r>
    </w:p>
    <w:p w:rsidR="00000000" w:rsidDel="00000000" w:rsidP="00000000" w:rsidRDefault="00000000" w:rsidRPr="00000000" w14:paraId="000001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Educación, sanidad, asistencia social, cultura, deporte, son ejemplos de servicios públicos que también se consideran parte del sector servicios. </w:t>
      </w:r>
    </w:p>
    <w:p w:rsidR="00000000" w:rsidDel="00000000" w:rsidP="00000000" w:rsidRDefault="00000000" w:rsidRPr="00000000" w14:paraId="000001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En resumen, el sector servicios es un sector muy amplio que abarca una gran variedad de actividades económicas destinadas a satisfacer las necesidades de las personas y otras empresas, ya sea de forma directa o indirecta. </w:t>
      </w:r>
    </w:p>
    <w:p w:rsidR="00000000" w:rsidDel="00000000" w:rsidP="00000000" w:rsidRDefault="00000000" w:rsidRPr="00000000" w14:paraId="000001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DD">
      <w:pPr>
        <w:pStyle w:val="Heading3"/>
        <w:numPr>
          <w:ilvl w:val="2"/>
          <w:numId w:val="9"/>
        </w:numPr>
        <w:spacing w:before="0" w:lineRule="auto"/>
        <w:ind w:left="838" w:hanging="720"/>
        <w:rPr>
          <w:rFonts w:ascii="Garamond" w:cs="Garamond" w:eastAsia="Garamond" w:hAnsi="Garamond"/>
          <w:b w:val="1"/>
          <w:bCs w:val="1"/>
          <w:color w:val="000000"/>
        </w:rPr>
      </w:pPr>
      <w:r w:rsidDel="00000000" w:rsidR="00000000" w:rsidRPr="00000000">
        <w:rPr>
          <w:rFonts w:ascii="Garamond" w:cs="Garamond" w:eastAsia="Garamond" w:hAnsi="Garamond"/>
          <w:b w:val="1"/>
          <w:bCs w:val="1"/>
          <w:color w:val="000000"/>
          <w:rtl w:val="0"/>
        </w:rPr>
        <w:t xml:space="preserve">GREMIOS Y ASOCIACIONES QUE PARTICIPAN EN EL SECTOR </w:t>
      </w:r>
    </w:p>
    <w:p w:rsidR="00000000" w:rsidDel="00000000" w:rsidP="00000000" w:rsidRDefault="00000000" w:rsidRPr="00000000" w14:paraId="000001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Grupos conformados por personas naturales o jurídicas que participan de manera directa en el sector (sindicatos, cooperativas, entre otros). Se han identificado las siguientes agremiaciones que tienen relación con las actividades y servicios de operación logística:</w:t>
      </w:r>
    </w:p>
    <w:p w:rsidR="00000000" w:rsidDel="00000000" w:rsidP="00000000" w:rsidRDefault="00000000" w:rsidRPr="00000000" w14:paraId="000001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E1">
      <w:pPr>
        <w:keepNext w:val="0"/>
        <w:keepLines w:val="0"/>
        <w:pageBreakBefore w:val="0"/>
        <w:widowControl w:val="0"/>
        <w:numPr>
          <w:ilvl w:val="0"/>
          <w:numId w:val="8"/>
        </w:numPr>
        <w:pBdr>
          <w:top w:space="0" w:sz="0" w:val="nil"/>
          <w:left w:space="0" w:sz="0" w:val="nil"/>
          <w:bottom w:space="0" w:sz="0" w:val="nil"/>
          <w:right w:space="0" w:sz="0" w:val="nil"/>
          <w:between w:space="0" w:sz="0" w:val="nil"/>
        </w:pBdr>
        <w:shd w:fill="auto" w:val="clear"/>
        <w:spacing w:after="0" w:before="0" w:line="240" w:lineRule="auto"/>
        <w:ind w:left="708" w:right="0" w:hanging="360"/>
        <w:jc w:val="both"/>
        <w:rPr>
          <w:rFonts w:ascii="Garamond" w:cs="Garamond" w:eastAsia="Garamond" w:hAnsi="Garamond"/>
          <w:b w:val="0"/>
          <w:bCs w:val="0"/>
          <w:i w:val="1"/>
          <w:iCs w:val="1"/>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1"/>
          <w:iCs w:val="1"/>
          <w:smallCaps w:val="0"/>
          <w:strike w:val="0"/>
          <w:color w:val="000000"/>
          <w:sz w:val="24"/>
          <w:szCs w:val="24"/>
          <w:u w:val="none"/>
          <w:shd w:fill="auto" w:val="clear"/>
          <w:vertAlign w:val="baseline"/>
          <w:rtl w:val="0"/>
        </w:rPr>
        <w:t xml:space="preserve">Asociación Colombiana de la Industria de Ferias, Congresos, Convenciones y Actividades Afines – AIFEC: Es una asociación sin ánimo de lucro que agrupa empresas que intervienen en la realización de ferias, congresos, convenciones y en general actividades afines, que se orienta hacia el desarrollo del sector con excelencia y calidad en la prestación del servicio bajo marcos legales nacionales e internacionales.</w:t>
      </w:r>
    </w:p>
    <w:p w:rsidR="00000000" w:rsidDel="00000000" w:rsidP="00000000" w:rsidRDefault="00000000" w:rsidRPr="00000000" w14:paraId="000001E2">
      <w:pPr>
        <w:keepNext w:val="0"/>
        <w:keepLines w:val="0"/>
        <w:pageBreakBefore w:val="0"/>
        <w:widowControl w:val="0"/>
        <w:numPr>
          <w:ilvl w:val="0"/>
          <w:numId w:val="8"/>
        </w:numPr>
        <w:pBdr>
          <w:top w:space="0" w:sz="0" w:val="nil"/>
          <w:left w:space="0" w:sz="0" w:val="nil"/>
          <w:bottom w:space="0" w:sz="0" w:val="nil"/>
          <w:right w:space="0" w:sz="0" w:val="nil"/>
          <w:between w:space="0" w:sz="0" w:val="nil"/>
        </w:pBdr>
        <w:shd w:fill="auto" w:val="clear"/>
        <w:spacing w:after="0" w:before="0" w:line="240" w:lineRule="auto"/>
        <w:ind w:left="708" w:right="0" w:hanging="360"/>
        <w:jc w:val="both"/>
        <w:rPr>
          <w:rFonts w:ascii="Garamond" w:cs="Garamond" w:eastAsia="Garamond" w:hAnsi="Garamond"/>
          <w:b w:val="0"/>
          <w:bCs w:val="0"/>
          <w:i w:val="1"/>
          <w:iCs w:val="1"/>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1"/>
          <w:iCs w:val="1"/>
          <w:smallCaps w:val="0"/>
          <w:strike w:val="0"/>
          <w:color w:val="000000"/>
          <w:sz w:val="24"/>
          <w:szCs w:val="24"/>
          <w:u w:val="none"/>
          <w:shd w:fill="auto" w:val="clear"/>
          <w:vertAlign w:val="baseline"/>
          <w:rtl w:val="0"/>
        </w:rPr>
        <w:t xml:space="preserve">Asociación Colombiana de Agencias de Viajes y Turismo- ANATO: Es una entidad sin ánimo de lucro y de carácter gremial que representa, defiende y promociona los intereses generales del turismo y de las Agencias de Viajes en Colombia.</w:t>
      </w:r>
    </w:p>
    <w:p w:rsidR="00000000" w:rsidDel="00000000" w:rsidP="00000000" w:rsidRDefault="00000000" w:rsidRPr="00000000" w14:paraId="000001E3">
      <w:pPr>
        <w:keepNext w:val="0"/>
        <w:keepLines w:val="0"/>
        <w:pageBreakBefore w:val="0"/>
        <w:widowControl w:val="0"/>
        <w:numPr>
          <w:ilvl w:val="0"/>
          <w:numId w:val="8"/>
        </w:numPr>
        <w:pBdr>
          <w:top w:space="0" w:sz="0" w:val="nil"/>
          <w:left w:space="0" w:sz="0" w:val="nil"/>
          <w:bottom w:space="0" w:sz="0" w:val="nil"/>
          <w:right w:space="0" w:sz="0" w:val="nil"/>
          <w:between w:space="0" w:sz="0" w:val="nil"/>
        </w:pBdr>
        <w:shd w:fill="auto" w:val="clear"/>
        <w:spacing w:after="0" w:before="0" w:line="240" w:lineRule="auto"/>
        <w:ind w:left="708" w:right="0" w:hanging="360"/>
        <w:jc w:val="both"/>
        <w:rPr>
          <w:rFonts w:ascii="Garamond" w:cs="Garamond" w:eastAsia="Garamond" w:hAnsi="Garamond"/>
          <w:b w:val="0"/>
          <w:bCs w:val="0"/>
          <w:i w:val="1"/>
          <w:iCs w:val="1"/>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1"/>
          <w:iCs w:val="1"/>
          <w:smallCaps w:val="0"/>
          <w:strike w:val="0"/>
          <w:color w:val="000000"/>
          <w:sz w:val="24"/>
          <w:szCs w:val="24"/>
          <w:u w:val="none"/>
          <w:shd w:fill="auto" w:val="clear"/>
          <w:vertAlign w:val="baseline"/>
          <w:rtl w:val="0"/>
        </w:rPr>
        <w:t xml:space="preserve">Asociación Hotelera y Turística de Colombia – COTELCO: Es un gremio federado que representa y apoya los intereses del sector hotelero y turístico colombiano para fortalecer su competitividad y productividad mediante la prestación de servicios que den respuesta a las necesidades de sus afiliados y del turismo en general.</w:t>
      </w:r>
    </w:p>
    <w:p w:rsidR="00000000" w:rsidDel="00000000" w:rsidP="00000000" w:rsidRDefault="00000000" w:rsidRPr="00000000" w14:paraId="000001E4">
      <w:pPr>
        <w:keepNext w:val="0"/>
        <w:keepLines w:val="0"/>
        <w:pageBreakBefore w:val="0"/>
        <w:widowControl w:val="0"/>
        <w:numPr>
          <w:ilvl w:val="0"/>
          <w:numId w:val="8"/>
        </w:numPr>
        <w:pBdr>
          <w:top w:space="0" w:sz="0" w:val="nil"/>
          <w:left w:space="0" w:sz="0" w:val="nil"/>
          <w:bottom w:space="0" w:sz="0" w:val="nil"/>
          <w:right w:space="0" w:sz="0" w:val="nil"/>
          <w:between w:space="0" w:sz="0" w:val="nil"/>
        </w:pBdr>
        <w:shd w:fill="auto" w:val="clear"/>
        <w:spacing w:after="0" w:before="0" w:line="240" w:lineRule="auto"/>
        <w:ind w:left="708" w:right="0" w:hanging="360"/>
        <w:jc w:val="both"/>
        <w:rPr>
          <w:rFonts w:ascii="Garamond" w:cs="Garamond" w:eastAsia="Garamond" w:hAnsi="Garamond"/>
          <w:b w:val="0"/>
          <w:bCs w:val="0"/>
          <w:i w:val="1"/>
          <w:iCs w:val="1"/>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1"/>
          <w:iCs w:val="1"/>
          <w:smallCaps w:val="0"/>
          <w:strike w:val="0"/>
          <w:color w:val="000000"/>
          <w:sz w:val="24"/>
          <w:szCs w:val="24"/>
          <w:u w:val="none"/>
          <w:shd w:fill="auto" w:val="clear"/>
          <w:vertAlign w:val="baseline"/>
          <w:rtl w:val="0"/>
        </w:rPr>
        <w:t xml:space="preserve">Asociación Internacional de Congresos y Convenciones - ICCA (por sus siglas en inglés): Es una organización fundada inicialmente por un grupo de agencias de viajes con la finalidad de buscar el intercambio e información sobre congresos y convenciones a nivel mundial relacionadas con la actividad turística en general y toda la industria de las reuniones. Esta organización ofrece una membresía a sus integrantes, la cual les da acceso a una red de contactos especializados en soluciones para eventos de gran magnitud en los principales destinos internacionales</w:t>
      </w:r>
      <w:r w:rsidDel="00000000" w:rsidR="00000000" w:rsidRPr="00000000">
        <w:rPr>
          <w:rFonts w:ascii="Garamond" w:cs="Garamond" w:eastAsia="Garamond" w:hAnsi="Garamond"/>
          <w:i w:val="1"/>
          <w:iCs w:val="1"/>
          <w:color w:val="000000"/>
          <w:sz w:val="24"/>
          <w:szCs w:val="24"/>
          <w:u w:val="none"/>
          <w:rtl w:val="0"/>
        </w:rPr>
        <w:t xml:space="preserve">.</w:t>
      </w:r>
      <w:r w:rsidDel="00000000" w:rsidR="00000000" w:rsidRPr="00000000">
        <w:rPr>
          <w:rtl w:val="0"/>
        </w:rPr>
      </w:r>
    </w:p>
    <w:p w:rsidR="00000000" w:rsidDel="00000000" w:rsidP="00000000" w:rsidRDefault="00000000" w:rsidRPr="00000000" w14:paraId="000001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i w:val="1"/>
          <w:iCs w:val="1"/>
          <w:sz w:val="24"/>
          <w:szCs w:val="24"/>
        </w:rPr>
      </w:pPr>
      <w:r w:rsidDel="00000000" w:rsidR="00000000" w:rsidRPr="00000000">
        <w:rPr>
          <w:rFonts w:ascii="Garamond" w:cs="Garamond" w:eastAsia="Garamond" w:hAnsi="Garamond"/>
          <w:i w:val="1"/>
          <w:iCs w:val="1"/>
          <w:sz w:val="24"/>
          <w:szCs w:val="24"/>
          <w:rtl w:val="0"/>
        </w:rPr>
        <w:tab/>
      </w:r>
    </w:p>
    <w:p w:rsidR="00000000" w:rsidDel="00000000" w:rsidP="00000000" w:rsidRDefault="00000000" w:rsidRPr="00000000" w14:paraId="000001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i w:val="1"/>
          <w:iCs w:val="1"/>
          <w:sz w:val="24"/>
          <w:szCs w:val="24"/>
        </w:rPr>
      </w:pPr>
      <w:r w:rsidDel="00000000" w:rsidR="00000000" w:rsidRPr="00000000">
        <w:rPr>
          <w:rtl w:val="0"/>
        </w:rPr>
      </w:r>
    </w:p>
    <w:p w:rsidR="00000000" w:rsidDel="00000000" w:rsidP="00000000" w:rsidRDefault="00000000" w:rsidRPr="00000000" w14:paraId="000001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E8">
      <w:pPr>
        <w:pStyle w:val="Heading3"/>
        <w:numPr>
          <w:ilvl w:val="2"/>
          <w:numId w:val="9"/>
        </w:numPr>
        <w:spacing w:before="0" w:lineRule="auto"/>
        <w:ind w:left="838" w:hanging="720"/>
        <w:rPr>
          <w:rFonts w:ascii="Garamond" w:cs="Garamond" w:eastAsia="Garamond" w:hAnsi="Garamond"/>
          <w:b w:val="1"/>
          <w:bCs w:val="1"/>
          <w:color w:val="000000"/>
        </w:rPr>
      </w:pPr>
      <w:r w:rsidDel="00000000" w:rsidR="00000000" w:rsidRPr="00000000">
        <w:rPr>
          <w:rFonts w:ascii="Garamond" w:cs="Garamond" w:eastAsia="Garamond" w:hAnsi="Garamond"/>
          <w:b w:val="1"/>
          <w:bCs w:val="1"/>
          <w:color w:val="000000"/>
          <w:rtl w:val="0"/>
        </w:rPr>
        <w:t xml:space="preserve">CADENA DE PRODUCCIÓN </w:t>
      </w:r>
    </w:p>
    <w:p w:rsidR="00000000" w:rsidDel="00000000" w:rsidP="00000000" w:rsidRDefault="00000000" w:rsidRPr="00000000" w14:paraId="000001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EA">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Al ser el presente Estudio de Sector, un proceso del sector de servicios, APLICA, una cadena de producción y distribución, que se encuentra detallado en el Numeral “Especificaciones” en los Estudios Previos y en el Anexo Técnico. </w:t>
      </w:r>
    </w:p>
    <w:p w:rsidR="00000000" w:rsidDel="00000000" w:rsidP="00000000" w:rsidRDefault="00000000" w:rsidRPr="00000000" w14:paraId="000001EB">
      <w:pPr>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1EC">
      <w:pPr>
        <w:pStyle w:val="Heading3"/>
        <w:numPr>
          <w:ilvl w:val="2"/>
          <w:numId w:val="9"/>
        </w:numPr>
        <w:spacing w:before="0" w:lineRule="auto"/>
        <w:ind w:left="838" w:hanging="720"/>
        <w:rPr>
          <w:rFonts w:ascii="Garamond" w:cs="Garamond" w:eastAsia="Garamond" w:hAnsi="Garamond"/>
          <w:b w:val="1"/>
          <w:bCs w:val="1"/>
          <w:color w:val="000000"/>
        </w:rPr>
      </w:pPr>
      <w:r w:rsidDel="00000000" w:rsidR="00000000" w:rsidRPr="00000000">
        <w:rPr>
          <w:rFonts w:ascii="Garamond" w:cs="Garamond" w:eastAsia="Garamond" w:hAnsi="Garamond"/>
          <w:b w:val="1"/>
          <w:bCs w:val="1"/>
          <w:color w:val="000000"/>
          <w:rtl w:val="0"/>
        </w:rPr>
        <w:t xml:space="preserve">MATERIAS PRIMAS NECESARIAS PARA LA PRODUCCIÓN Y LA VARIACIÓN DE SUS PRECIOS</w:t>
      </w:r>
    </w:p>
    <w:p w:rsidR="00000000" w:rsidDel="00000000" w:rsidP="00000000" w:rsidRDefault="00000000" w:rsidRPr="00000000" w14:paraId="000001ED">
      <w:pPr>
        <w:jc w:val="both"/>
        <w:rPr>
          <w:rFonts w:ascii="Garamond" w:cs="Garamond" w:eastAsia="Garamond" w:hAnsi="Garamond"/>
          <w:b w:val="1"/>
          <w:bCs w:val="1"/>
          <w:sz w:val="24"/>
          <w:szCs w:val="24"/>
        </w:rPr>
      </w:pPr>
      <w:r w:rsidDel="00000000" w:rsidR="00000000" w:rsidRPr="00000000">
        <w:rPr>
          <w:rtl w:val="0"/>
        </w:rPr>
      </w:r>
    </w:p>
    <w:p w:rsidR="00000000" w:rsidDel="00000000" w:rsidP="00000000" w:rsidRDefault="00000000" w:rsidRPr="00000000" w14:paraId="000001EE">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Al ser el presente Estudio de Sector, un proceso del sector servicios, NO APLICA, el análisis de las materias primas para la producción y variación de los precios, sin embargo, se hace la aclaración que esto será considerado en la correspondiente Matriz de Riesgos.</w:t>
      </w:r>
    </w:p>
    <w:p w:rsidR="00000000" w:rsidDel="00000000" w:rsidP="00000000" w:rsidRDefault="00000000" w:rsidRPr="00000000" w14:paraId="000001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F0">
      <w:pPr>
        <w:keepNext w:val="0"/>
        <w:keepLines w:val="0"/>
        <w:pageBreakBefore w:val="0"/>
        <w:widowControl w:val="0"/>
        <w:numPr>
          <w:ilvl w:val="0"/>
          <w:numId w:val="10"/>
        </w:numPr>
        <w:pBdr>
          <w:top w:space="0" w:sz="0" w:val="nil"/>
          <w:left w:space="0" w:sz="0" w:val="nil"/>
          <w:bottom w:space="0" w:sz="0" w:val="nil"/>
          <w:right w:space="0" w:sz="0" w:val="nil"/>
          <w:between w:space="0" w:sz="0" w:val="nil"/>
        </w:pBdr>
        <w:shd w:fill="auto" w:val="clear"/>
        <w:spacing w:after="0" w:before="0" w:line="240" w:lineRule="auto"/>
        <w:ind w:left="402" w:right="0" w:hanging="284"/>
        <w:jc w:val="left"/>
        <w:rPr>
          <w:rFonts w:ascii="Garamond" w:cs="Garamond" w:eastAsia="Garamond" w:hAnsi="Garamond"/>
          <w:b w:val="1"/>
          <w:bCs w:val="1"/>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1"/>
          <w:bCs w:val="1"/>
          <w:i w:val="0"/>
          <w:iCs w:val="0"/>
          <w:smallCaps w:val="0"/>
          <w:strike w:val="0"/>
          <w:color w:val="000000"/>
          <w:sz w:val="24"/>
          <w:szCs w:val="24"/>
          <w:u w:val="none"/>
          <w:shd w:fill="auto" w:val="clear"/>
          <w:vertAlign w:val="baseline"/>
          <w:rtl w:val="0"/>
        </w:rPr>
        <w:t xml:space="preserve">ASPECTOS TECNICOS  </w:t>
      </w:r>
    </w:p>
    <w:p w:rsidR="00000000" w:rsidDel="00000000" w:rsidP="00000000" w:rsidRDefault="00000000" w:rsidRPr="00000000" w14:paraId="000001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Para el presente proceso de selección, el FDLSC elaboró los requerimientos técnicos mínimos, de obligatorio cumplimiento para el contratista, contemplados en el Anexo Técnico para </w:t>
      </w:r>
      <w:r w:rsidDel="00000000" w:rsidR="00000000" w:rsidRPr="00000000">
        <w:rPr>
          <w:rFonts w:ascii="Garamond" w:cs="Garamond" w:eastAsia="Garamond" w:hAnsi="Garamond"/>
          <w:sz w:val="24"/>
          <w:szCs w:val="24"/>
          <w:highlight w:val="white"/>
          <w:rtl w:val="0"/>
        </w:rPr>
        <w:t xml:space="preserve">“</w:t>
      </w:r>
      <w:r w:rsidDel="00000000" w:rsidR="00000000" w:rsidRPr="00000000">
        <w:rPr>
          <w:rFonts w:ascii="Garamond" w:cs="Garamond" w:eastAsia="Garamond" w:hAnsi="Garamond"/>
          <w:b w:val="1"/>
          <w:bCs w:val="1"/>
          <w:sz w:val="24"/>
          <w:szCs w:val="24"/>
          <w:highlight w:val="white"/>
          <w:rtl w:val="0"/>
        </w:rPr>
        <w:t xml:space="preserve">PRESTACIÓN DE SERVICIOS METODOLÓGICOS, EDUCATIVOS Y LOGISTICOS, DIRIGIDOS AL FORTALECIMIENTO DE LA PARTICIPACIÓN INCIDENTE DE LA LOCALIDAD DE SAN CRISTÓBAL, PARA LA TRANSFORMACIÓN DE LOS GRUPOS JUVENILES, LAS ORGANIZACIONES SOCIALES E INSTANCIAS DE PARTICIPACIÓN, A TRAVÉS DE LA IMPLEMENTACIÓN Y EJECUCIÓN DE INICIATIVAS INNOVADORES QUE PROMUEVAN EL DESARROLLO DE LA LOCALIDAD  GENERANDO IMPACTO SOCIOEDUCATIVO EN EL SECTOR”</w:t>
      </w:r>
      <w:r w:rsidDel="00000000" w:rsidR="00000000" w:rsidRPr="00000000">
        <w:rPr>
          <w:rFonts w:ascii="Garamond" w:cs="Garamond" w:eastAsia="Garamond" w:hAnsi="Garamond"/>
          <w:sz w:val="24"/>
          <w:szCs w:val="24"/>
          <w:highlight w:val="white"/>
          <w:rtl w:val="0"/>
        </w:rPr>
        <w:t xml:space="preserve"> </w:t>
      </w: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 al Fondo de Desarrollo Local de San Cristóbal.</w:t>
      </w:r>
    </w:p>
    <w:p w:rsidR="00000000" w:rsidDel="00000000" w:rsidP="00000000" w:rsidRDefault="00000000" w:rsidRPr="00000000" w14:paraId="000001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F4">
      <w:pPr>
        <w:keepNext w:val="0"/>
        <w:keepLines w:val="0"/>
        <w:pageBreakBefore w:val="0"/>
        <w:widowControl w:val="0"/>
        <w:numPr>
          <w:ilvl w:val="1"/>
          <w:numId w:val="10"/>
        </w:numPr>
        <w:pBdr>
          <w:top w:space="0" w:sz="0" w:val="nil"/>
          <w:left w:space="0" w:sz="0" w:val="nil"/>
          <w:bottom w:space="0" w:sz="0" w:val="nil"/>
          <w:right w:space="0" w:sz="0" w:val="nil"/>
          <w:between w:space="0" w:sz="0" w:val="nil"/>
        </w:pBdr>
        <w:shd w:fill="auto" w:val="clear"/>
        <w:spacing w:after="0" w:before="0" w:line="240" w:lineRule="auto"/>
        <w:ind w:left="838" w:right="0" w:hanging="720"/>
        <w:jc w:val="left"/>
        <w:rPr>
          <w:rFonts w:ascii="Garamond" w:cs="Garamond" w:eastAsia="Garamond" w:hAnsi="Garamond"/>
          <w:b w:val="1"/>
          <w:bCs w:val="1"/>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1"/>
          <w:bCs w:val="1"/>
          <w:i w:val="0"/>
          <w:iCs w:val="0"/>
          <w:smallCaps w:val="0"/>
          <w:strike w:val="0"/>
          <w:color w:val="000000"/>
          <w:sz w:val="24"/>
          <w:szCs w:val="24"/>
          <w:u w:val="none"/>
          <w:shd w:fill="auto" w:val="clear"/>
          <w:vertAlign w:val="baseline"/>
          <w:rtl w:val="0"/>
        </w:rPr>
        <w:t xml:space="preserve">ESPECIFICACIONES DE CALIDAD</w:t>
      </w:r>
    </w:p>
    <w:p w:rsidR="00000000" w:rsidDel="00000000" w:rsidP="00000000" w:rsidRDefault="00000000" w:rsidRPr="00000000" w14:paraId="000001F5">
      <w:pPr>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1F6">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La Alcaldía Local de San Cristóbal, requiere que se lleve a cabo un proyecto con altísima calidad en donde primen las siguientes características: </w:t>
      </w:r>
    </w:p>
    <w:p w:rsidR="00000000" w:rsidDel="00000000" w:rsidP="00000000" w:rsidRDefault="00000000" w:rsidRPr="00000000" w14:paraId="000001F7">
      <w:pPr>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1F8">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Que se cumpla con su objetivo y satisfacción del propósito. </w:t>
      </w:r>
    </w:p>
    <w:p w:rsidR="00000000" w:rsidDel="00000000" w:rsidP="00000000" w:rsidRDefault="00000000" w:rsidRPr="00000000" w14:paraId="000001F9">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Los elementos o servicios para entregar se realicen en el tiempo establecido. </w:t>
      </w:r>
    </w:p>
    <w:p w:rsidR="00000000" w:rsidDel="00000000" w:rsidP="00000000" w:rsidRDefault="00000000" w:rsidRPr="00000000" w14:paraId="000001FA">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El consumo de los recursos se </w:t>
      </w:r>
      <w:r w:rsidDel="00000000" w:rsidR="00000000" w:rsidRPr="00000000">
        <w:rPr>
          <w:rFonts w:ascii="Garamond" w:cs="Garamond" w:eastAsia="Garamond" w:hAnsi="Garamond"/>
          <w:sz w:val="24"/>
          <w:szCs w:val="24"/>
          <w:rtl w:val="0"/>
        </w:rPr>
        <w:t xml:space="preserve">lleva</w:t>
      </w: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 a cabo de acuerdo con el plan de acción. </w:t>
      </w:r>
    </w:p>
    <w:p w:rsidR="00000000" w:rsidDel="00000000" w:rsidP="00000000" w:rsidRDefault="00000000" w:rsidRPr="00000000" w14:paraId="000001FB">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El presupuesto fijado inicialmente para el proyecto sea respetado y no se necesite de ninguna ampliación. </w:t>
      </w:r>
    </w:p>
    <w:p w:rsidR="00000000" w:rsidDel="00000000" w:rsidP="00000000" w:rsidRDefault="00000000" w:rsidRPr="00000000" w14:paraId="000001FC">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Se cumplan con las obligaciones específicas y generales dadas en los estudios previos. </w:t>
      </w:r>
    </w:p>
    <w:p w:rsidR="00000000" w:rsidDel="00000000" w:rsidP="00000000" w:rsidRDefault="00000000" w:rsidRPr="00000000" w14:paraId="000001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1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1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2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01">
      <w:pPr>
        <w:keepNext w:val="0"/>
        <w:keepLines w:val="0"/>
        <w:pageBreakBefore w:val="0"/>
        <w:widowControl w:val="0"/>
        <w:numPr>
          <w:ilvl w:val="0"/>
          <w:numId w:val="10"/>
        </w:numPr>
        <w:pBdr>
          <w:top w:space="0" w:sz="0" w:val="nil"/>
          <w:left w:space="0" w:sz="0" w:val="nil"/>
          <w:bottom w:space="0" w:sz="0" w:val="nil"/>
          <w:right w:space="0" w:sz="0" w:val="nil"/>
          <w:between w:space="0" w:sz="0" w:val="nil"/>
        </w:pBdr>
        <w:shd w:fill="auto" w:val="clear"/>
        <w:spacing w:after="0" w:before="0" w:line="240" w:lineRule="auto"/>
        <w:ind w:left="402" w:right="0" w:hanging="284"/>
        <w:jc w:val="left"/>
        <w:rPr>
          <w:rFonts w:ascii="Garamond" w:cs="Garamond" w:eastAsia="Garamond" w:hAnsi="Garamond"/>
          <w:b w:val="1"/>
          <w:bCs w:val="1"/>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1"/>
          <w:bCs w:val="1"/>
          <w:i w:val="0"/>
          <w:iCs w:val="0"/>
          <w:smallCaps w:val="0"/>
          <w:strike w:val="0"/>
          <w:color w:val="000000"/>
          <w:sz w:val="24"/>
          <w:szCs w:val="24"/>
          <w:u w:val="none"/>
          <w:shd w:fill="auto" w:val="clear"/>
          <w:vertAlign w:val="baseline"/>
          <w:rtl w:val="0"/>
        </w:rPr>
        <w:t xml:space="preserve">ASPECTOS REGULATORIO</w:t>
      </w:r>
    </w:p>
    <w:p w:rsidR="00000000" w:rsidDel="00000000" w:rsidP="00000000" w:rsidRDefault="00000000" w:rsidRPr="00000000" w14:paraId="000002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03">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10" w:line="240" w:lineRule="auto"/>
        <w:ind w:left="720" w:right="0" w:hanging="360"/>
        <w:jc w:val="left"/>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Ley 80 de 1993 “Por la cual se expide el Estatuto General de Contratación de la Administración Pública.</w:t>
      </w:r>
    </w:p>
    <w:p w:rsidR="00000000" w:rsidDel="00000000" w:rsidP="00000000" w:rsidRDefault="00000000" w:rsidRPr="00000000" w14:paraId="00000204">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10" w:line="240" w:lineRule="auto"/>
        <w:ind w:left="720" w:right="0" w:hanging="360"/>
        <w:jc w:val="left"/>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Ley 816 de 2003 “Por medio de la cual se apoya a la industria nacional a través de la contratación pública”.</w:t>
      </w:r>
    </w:p>
    <w:p w:rsidR="00000000" w:rsidDel="00000000" w:rsidP="00000000" w:rsidRDefault="00000000" w:rsidRPr="00000000" w14:paraId="00000205">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10" w:line="240" w:lineRule="auto"/>
        <w:ind w:left="720" w:right="0" w:hanging="360"/>
        <w:jc w:val="left"/>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Ley 1150 de 2007 Se introducen medidas de efica</w:t>
      </w:r>
      <w:r w:rsidDel="00000000" w:rsidR="00000000" w:rsidRPr="00000000">
        <w:rPr>
          <w:rFonts w:ascii="Garamond" w:cs="Garamond" w:eastAsia="Garamond" w:hAnsi="Garamond"/>
          <w:sz w:val="24"/>
          <w:szCs w:val="24"/>
          <w:rtl w:val="0"/>
        </w:rPr>
        <w:t xml:space="preserve">cia y transparencia</w:t>
      </w: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 en la Ley 80 de 1993.</w:t>
      </w:r>
    </w:p>
    <w:p w:rsidR="00000000" w:rsidDel="00000000" w:rsidP="00000000" w:rsidRDefault="00000000" w:rsidRPr="00000000" w14:paraId="00000206">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10" w:line="240" w:lineRule="auto"/>
        <w:ind w:left="720" w:right="0" w:hanging="360"/>
        <w:jc w:val="left"/>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Ley 1474 de 2011 “Por la cual se dictan normas orientadas a fortalecer los mecanismos de prevención, investigación y sanción de actos de corrupción y la efectividad del control de la gestión pública”.</w:t>
      </w:r>
    </w:p>
    <w:p w:rsidR="00000000" w:rsidDel="00000000" w:rsidP="00000000" w:rsidRDefault="00000000" w:rsidRPr="00000000" w14:paraId="00000207">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10" w:line="240" w:lineRule="auto"/>
        <w:ind w:left="720" w:right="0" w:hanging="360"/>
        <w:jc w:val="left"/>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Decreto 3036 de 2013” Por el cual se liquida el Presupuesto General de la Nación para la vigencia fiscal de 2014, se detallan las apropiaciones y sé clasifican y definen los gastos”.</w:t>
      </w:r>
    </w:p>
    <w:p w:rsidR="00000000" w:rsidDel="00000000" w:rsidP="00000000" w:rsidRDefault="00000000" w:rsidRPr="00000000" w14:paraId="00000208">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10" w:line="240" w:lineRule="auto"/>
        <w:ind w:left="720" w:right="0" w:hanging="360"/>
        <w:jc w:val="left"/>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Decreto 1510 de 2013 “Por el cual se reglamenta el plan de compras y contratación pública”</w:t>
      </w:r>
    </w:p>
    <w:p w:rsidR="00000000" w:rsidDel="00000000" w:rsidP="00000000" w:rsidRDefault="00000000" w:rsidRPr="00000000" w14:paraId="00000209">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10" w:line="240" w:lineRule="auto"/>
        <w:ind w:left="720" w:right="0" w:hanging="360"/>
        <w:jc w:val="left"/>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Decreto-Ley 019 de 2012 “Por el cual se dictan normas para suprimir o reformar regulaciones, procedimientos y trámites innecesarios existentes en la Administración Pública”.</w:t>
      </w:r>
    </w:p>
    <w:p w:rsidR="00000000" w:rsidDel="00000000" w:rsidP="00000000" w:rsidRDefault="00000000" w:rsidRPr="00000000" w14:paraId="0000020A">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10" w:line="240" w:lineRule="auto"/>
        <w:ind w:left="720" w:right="0" w:hanging="360"/>
        <w:jc w:val="left"/>
        <w:rPr>
          <w:rFonts w:ascii="Garamond" w:cs="Garamond" w:eastAsia="Garamond" w:hAnsi="Garamond"/>
          <w:b w:val="1"/>
          <w:bCs w:val="1"/>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Decreto 1860 de 2021- “</w:t>
      </w:r>
      <w:r w:rsidDel="00000000" w:rsidR="00000000" w:rsidRPr="00000000">
        <w:rPr>
          <w:rFonts w:ascii="Garamond" w:cs="Garamond" w:eastAsia="Garamond" w:hAnsi="Garamond"/>
          <w:b w:val="0"/>
          <w:bCs w:val="0"/>
          <w:i w:val="1"/>
          <w:iCs w:val="1"/>
          <w:smallCaps w:val="0"/>
          <w:strike w:val="0"/>
          <w:color w:val="000000"/>
          <w:sz w:val="24"/>
          <w:szCs w:val="24"/>
          <w:u w:val="none"/>
          <w:shd w:fill="auto" w:val="clear"/>
          <w:vertAlign w:val="baseline"/>
          <w:rtl w:val="0"/>
        </w:rPr>
        <w:t xml:space="preserve">Por el cual se modifica </w:t>
      </w: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y </w:t>
      </w:r>
      <w:r w:rsidDel="00000000" w:rsidR="00000000" w:rsidRPr="00000000">
        <w:rPr>
          <w:rFonts w:ascii="Garamond" w:cs="Garamond" w:eastAsia="Garamond" w:hAnsi="Garamond"/>
          <w:b w:val="0"/>
          <w:bCs w:val="0"/>
          <w:i w:val="1"/>
          <w:iCs w:val="1"/>
          <w:smallCaps w:val="0"/>
          <w:strike w:val="0"/>
          <w:color w:val="000000"/>
          <w:sz w:val="24"/>
          <w:szCs w:val="24"/>
          <w:u w:val="none"/>
          <w:shd w:fill="auto" w:val="clear"/>
          <w:vertAlign w:val="baseline"/>
          <w:rtl w:val="0"/>
        </w:rPr>
        <w:t xml:space="preserve">adiciona el Decreto </w:t>
      </w: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1</w:t>
      </w:r>
      <w:r w:rsidDel="00000000" w:rsidR="00000000" w:rsidRPr="00000000">
        <w:rPr>
          <w:rFonts w:ascii="Garamond" w:cs="Garamond" w:eastAsia="Garamond" w:hAnsi="Garamond"/>
          <w:b w:val="0"/>
          <w:bCs w:val="0"/>
          <w:i w:val="1"/>
          <w:iCs w:val="1"/>
          <w:smallCaps w:val="0"/>
          <w:strike w:val="0"/>
          <w:color w:val="000000"/>
          <w:sz w:val="24"/>
          <w:szCs w:val="24"/>
          <w:u w:val="none"/>
          <w:shd w:fill="auto" w:val="clear"/>
          <w:vertAlign w:val="baseline"/>
          <w:rtl w:val="0"/>
        </w:rPr>
        <w:t xml:space="preserve">082 de 2015, Único Reglamentario del Sector Administrativo de Planeación Nacional, con el fin reglamentar los artículos 30, </w:t>
      </w: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31, 32, 34 Y 35 </w:t>
      </w:r>
      <w:r w:rsidDel="00000000" w:rsidR="00000000" w:rsidRPr="00000000">
        <w:rPr>
          <w:rFonts w:ascii="Garamond" w:cs="Garamond" w:eastAsia="Garamond" w:hAnsi="Garamond"/>
          <w:b w:val="0"/>
          <w:bCs w:val="0"/>
          <w:i w:val="1"/>
          <w:iCs w:val="1"/>
          <w:smallCaps w:val="0"/>
          <w:strike w:val="0"/>
          <w:color w:val="000000"/>
          <w:sz w:val="24"/>
          <w:szCs w:val="24"/>
          <w:u w:val="none"/>
          <w:shd w:fill="auto" w:val="clear"/>
          <w:vertAlign w:val="baseline"/>
          <w:rtl w:val="0"/>
        </w:rPr>
        <w:t xml:space="preserve">de la Ley 2069 de 2020, en lo relativo al sistema de compras públicas </w:t>
      </w: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y </w:t>
      </w:r>
      <w:r w:rsidDel="00000000" w:rsidR="00000000" w:rsidRPr="00000000">
        <w:rPr>
          <w:rFonts w:ascii="Garamond" w:cs="Garamond" w:eastAsia="Garamond" w:hAnsi="Garamond"/>
          <w:b w:val="0"/>
          <w:bCs w:val="0"/>
          <w:i w:val="1"/>
          <w:iCs w:val="1"/>
          <w:smallCaps w:val="0"/>
          <w:strike w:val="0"/>
          <w:color w:val="000000"/>
          <w:sz w:val="24"/>
          <w:szCs w:val="24"/>
          <w:u w:val="none"/>
          <w:shd w:fill="auto" w:val="clear"/>
          <w:vertAlign w:val="baseline"/>
          <w:rtl w:val="0"/>
        </w:rPr>
        <w:t xml:space="preserve">se dictan otras disposiciones", </w:t>
      </w: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define el emprendimiento y las empresas de mujeres, cuando se cumplan alguno de los criterios definidos en el artículo 2.2.1.2.4.2.14 y el </w:t>
      </w:r>
      <w:r w:rsidDel="00000000" w:rsidR="00000000" w:rsidRPr="00000000">
        <w:rPr>
          <w:rFonts w:ascii="Garamond" w:cs="Garamond" w:eastAsia="Garamond" w:hAnsi="Garamond"/>
          <w:sz w:val="24"/>
          <w:szCs w:val="24"/>
          <w:rtl w:val="0"/>
        </w:rPr>
        <w:t xml:space="preserve">artículo</w:t>
      </w: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 2.2.1.2.4.2.18.</w:t>
      </w:r>
      <w:r w:rsidDel="00000000" w:rsidR="00000000" w:rsidRPr="00000000">
        <w:rPr>
          <w:rtl w:val="0"/>
        </w:rPr>
      </w:r>
    </w:p>
    <w:p w:rsidR="00000000" w:rsidDel="00000000" w:rsidP="00000000" w:rsidRDefault="00000000" w:rsidRPr="00000000" w14:paraId="000002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 w:lineRule="auto"/>
        <w:ind w:left="118" w:right="14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Aunado a lo anterior, el ordenamiento jurídico colombiano ha desarrollado la siguiente normatividad frente a la regulación de los operadores logísticos de eventos:</w:t>
      </w:r>
    </w:p>
    <w:p w:rsidR="00000000" w:rsidDel="00000000" w:rsidP="00000000" w:rsidRDefault="00000000" w:rsidRPr="00000000" w14:paraId="000002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0" w:right="0" w:firstLine="0"/>
        <w:jc w:val="left"/>
        <w:rPr>
          <w:rFonts w:ascii="Garamond" w:cs="Garamond" w:eastAsia="Garamond" w:hAnsi="Garamond"/>
          <w:b w:val="0"/>
          <w:bCs w:val="0"/>
          <w:i w:val="0"/>
          <w:iCs w:val="0"/>
          <w:smallCaps w:val="0"/>
          <w:strike w:val="0"/>
          <w:color w:val="000000"/>
          <w:sz w:val="23"/>
          <w:szCs w:val="23"/>
          <w:u w:val="none"/>
          <w:shd w:fill="auto" w:val="clear"/>
          <w:vertAlign w:val="baseline"/>
        </w:rPr>
      </w:pPr>
      <w:r w:rsidDel="00000000" w:rsidR="00000000" w:rsidRPr="00000000">
        <w:rPr>
          <w:rtl w:val="0"/>
        </w:rPr>
      </w:r>
    </w:p>
    <w:p w:rsidR="00000000" w:rsidDel="00000000" w:rsidP="00000000" w:rsidRDefault="00000000" w:rsidRPr="00000000" w14:paraId="000002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 w:lineRule="auto"/>
        <w:ind w:left="118" w:right="136" w:firstLine="0"/>
        <w:jc w:val="both"/>
        <w:rPr>
          <w:rFonts w:ascii="Garamond" w:cs="Garamond" w:eastAsia="Garamond" w:hAnsi="Garamond"/>
          <w:b w:val="0"/>
          <w:bCs w:val="0"/>
          <w:i w:val="1"/>
          <w:iCs w:val="1"/>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1"/>
          <w:iCs w:val="1"/>
          <w:smallCaps w:val="0"/>
          <w:strike w:val="0"/>
          <w:color w:val="000000"/>
          <w:sz w:val="24"/>
          <w:szCs w:val="24"/>
          <w:u w:val="none"/>
          <w:shd w:fill="auto" w:val="clear"/>
          <w:vertAlign w:val="baseline"/>
          <w:rtl w:val="0"/>
        </w:rPr>
        <w:t xml:space="preserve">Ley 300 DE 1996 “Por la cual se expide la Ley General de Turismo y se dictan otras disposiciones” define en su artículo 100 a los operadores profesionales de congresos, ferias y convenciones, como “las personas naturales o jurídicas legalmente constituidas que se dediquen a la organización de certámenes como congresos, convenciones, ferias, seminarios y reuniones similares, en sus etapas de gerenciamiento, planeación, promoción y realización, así como la asesoría y/o producción de estos certámenes en forma total o parcial”.</w:t>
      </w:r>
    </w:p>
    <w:p w:rsidR="00000000" w:rsidDel="00000000" w:rsidP="00000000" w:rsidRDefault="00000000" w:rsidRPr="00000000" w14:paraId="000002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left"/>
        <w:rPr>
          <w:rFonts w:ascii="Garamond" w:cs="Garamond" w:eastAsia="Garamond" w:hAnsi="Garamond"/>
          <w:b w:val="0"/>
          <w:bCs w:val="0"/>
          <w:i w:val="1"/>
          <w:iCs w:val="1"/>
          <w:smallCaps w:val="0"/>
          <w:strike w:val="0"/>
          <w:color w:val="000000"/>
          <w:sz w:val="23"/>
          <w:szCs w:val="23"/>
          <w:u w:val="none"/>
          <w:shd w:fill="auto" w:val="clear"/>
          <w:vertAlign w:val="baseline"/>
        </w:rPr>
      </w:pPr>
      <w:r w:rsidDel="00000000" w:rsidR="00000000" w:rsidRPr="00000000">
        <w:rPr>
          <w:rtl w:val="0"/>
        </w:rPr>
      </w:r>
    </w:p>
    <w:p w:rsidR="00000000" w:rsidDel="00000000" w:rsidP="00000000" w:rsidRDefault="00000000" w:rsidRPr="00000000" w14:paraId="000002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 w:lineRule="auto"/>
        <w:ind w:left="118" w:right="14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Con fundamento en el artículo 69 de la referida Ley el Ministerio de Comercio, Industria y Turismo, el Instituto Colombiano de Normas Técnicas y Certificación (ICONTEC), el Consejo Profesional de Agentes de Viajes y turismo (CPAV) como unidad sectorial del Sistema Nacional de Normalización Certificación y Metrología y el Comité Técnico de Eventos, desarrollaron la norma técnica NTS-OPC SECTORIAL 001 de 2009, en la que se establecen los requisitos de calidad que deben cumplir los operadores profesionales de congresos, ferias y convenciones OPC, en todos los procesos relacionados con la organización de eventos, esto es: planeación, realización, evaluación y acciones de mejora del servicio prestado.</w:t>
      </w:r>
    </w:p>
    <w:p w:rsidR="00000000" w:rsidDel="00000000" w:rsidP="00000000" w:rsidRDefault="00000000" w:rsidRPr="00000000" w14:paraId="000002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 w:lineRule="auto"/>
        <w:ind w:left="118" w:right="14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 w:lineRule="auto"/>
        <w:ind w:left="118" w:right="14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DECRETO NACIONAL 1824 DE 2001 “</w:t>
      </w:r>
      <w:r w:rsidDel="00000000" w:rsidR="00000000" w:rsidRPr="00000000">
        <w:rPr>
          <w:rFonts w:ascii="Garamond" w:cs="Garamond" w:eastAsia="Garamond" w:hAnsi="Garamond"/>
          <w:b w:val="0"/>
          <w:bCs w:val="0"/>
          <w:i w:val="1"/>
          <w:iCs w:val="1"/>
          <w:smallCaps w:val="0"/>
          <w:strike w:val="0"/>
          <w:color w:val="000000"/>
          <w:sz w:val="24"/>
          <w:szCs w:val="24"/>
          <w:u w:val="none"/>
          <w:shd w:fill="auto" w:val="clear"/>
          <w:vertAlign w:val="baseline"/>
          <w:rtl w:val="0"/>
        </w:rPr>
        <w:t xml:space="preserve">Por el cual se dictan unas disposiciones relacionadas con la actividad de los operadores profesionales de congresos, ferias y convenciones”: </w:t>
      </w: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señala en su artículo 1°, las reglas que deben cumplir los operadores profesionales de congresos, ferias y convenciones en desarrollo de sus actividades, tales como:</w:t>
      </w:r>
    </w:p>
    <w:p w:rsidR="00000000" w:rsidDel="00000000" w:rsidP="00000000" w:rsidRDefault="00000000" w:rsidRPr="00000000" w14:paraId="000002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left"/>
        <w:rPr>
          <w:rFonts w:ascii="Garamond" w:cs="Garamond" w:eastAsia="Garamond" w:hAnsi="Garamond"/>
          <w:b w:val="0"/>
          <w:bCs w:val="0"/>
          <w:i w:val="0"/>
          <w:iCs w:val="0"/>
          <w:smallCaps w:val="0"/>
          <w:strike w:val="0"/>
          <w:color w:val="000000"/>
          <w:sz w:val="23"/>
          <w:szCs w:val="23"/>
          <w:u w:val="none"/>
          <w:shd w:fill="auto" w:val="clear"/>
          <w:vertAlign w:val="baseline"/>
        </w:rPr>
      </w:pPr>
      <w:r w:rsidDel="00000000" w:rsidR="00000000" w:rsidRPr="00000000">
        <w:rPr>
          <w:rtl w:val="0"/>
        </w:rPr>
      </w:r>
    </w:p>
    <w:p w:rsidR="00000000" w:rsidDel="00000000" w:rsidP="00000000" w:rsidRDefault="00000000" w:rsidRPr="00000000" w14:paraId="00000214">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leader="none" w:pos="369"/>
        </w:tabs>
        <w:spacing w:after="0" w:before="0" w:line="235" w:lineRule="auto"/>
        <w:ind w:left="118" w:right="143" w:firstLine="0"/>
        <w:jc w:val="left"/>
        <w:rPr>
          <w:rFonts w:ascii="Garamond" w:cs="Garamond" w:eastAsia="Garamond" w:hAnsi="Garamond"/>
          <w:b w:val="0"/>
          <w:bCs w:val="0"/>
          <w:i w:val="1"/>
          <w:iCs w:val="1"/>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1"/>
          <w:iCs w:val="1"/>
          <w:smallCaps w:val="0"/>
          <w:strike w:val="0"/>
          <w:color w:val="000000"/>
          <w:sz w:val="24"/>
          <w:szCs w:val="24"/>
          <w:u w:val="none"/>
          <w:shd w:fill="auto" w:val="clear"/>
          <w:vertAlign w:val="baseline"/>
          <w:rtl w:val="0"/>
        </w:rPr>
        <w:t xml:space="preserve">Asesorar en forma profesional a los clientes en la organización de congresos, ferias, convenciones y demás eventos propios de su actividad.</w:t>
      </w:r>
    </w:p>
    <w:p w:rsidR="00000000" w:rsidDel="00000000" w:rsidP="00000000" w:rsidRDefault="00000000" w:rsidRPr="00000000" w14:paraId="00000215">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leader="none" w:pos="345"/>
        </w:tabs>
        <w:spacing w:after="0" w:before="0" w:line="268" w:lineRule="auto"/>
        <w:ind w:left="344" w:right="0" w:hanging="227"/>
        <w:jc w:val="left"/>
        <w:rPr>
          <w:rFonts w:ascii="Garamond" w:cs="Garamond" w:eastAsia="Garamond" w:hAnsi="Garamond"/>
          <w:b w:val="0"/>
          <w:bCs w:val="0"/>
          <w:i w:val="1"/>
          <w:iCs w:val="1"/>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1"/>
          <w:iCs w:val="1"/>
          <w:smallCaps w:val="0"/>
          <w:strike w:val="0"/>
          <w:color w:val="000000"/>
          <w:sz w:val="24"/>
          <w:szCs w:val="24"/>
          <w:u w:val="none"/>
          <w:shd w:fill="auto" w:val="clear"/>
          <w:vertAlign w:val="baseline"/>
          <w:rtl w:val="0"/>
        </w:rPr>
        <w:t xml:space="preserve">Gerenciar los eventos propios y de terceros en sus etapas de planeación, promoción y realización.</w:t>
      </w:r>
    </w:p>
    <w:p w:rsidR="00000000" w:rsidDel="00000000" w:rsidP="00000000" w:rsidRDefault="00000000" w:rsidRPr="00000000" w14:paraId="00000216">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leader="none" w:pos="357"/>
        </w:tabs>
        <w:spacing w:after="0" w:before="4" w:line="232" w:lineRule="auto"/>
        <w:ind w:left="118" w:right="142" w:firstLine="0"/>
        <w:jc w:val="left"/>
        <w:rPr>
          <w:rFonts w:ascii="Garamond" w:cs="Garamond" w:eastAsia="Garamond" w:hAnsi="Garamond"/>
          <w:b w:val="0"/>
          <w:bCs w:val="0"/>
          <w:i w:val="1"/>
          <w:iCs w:val="1"/>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1"/>
          <w:iCs w:val="1"/>
          <w:smallCaps w:val="0"/>
          <w:strike w:val="0"/>
          <w:color w:val="000000"/>
          <w:sz w:val="24"/>
          <w:szCs w:val="24"/>
          <w:u w:val="none"/>
          <w:shd w:fill="auto" w:val="clear"/>
          <w:vertAlign w:val="baseline"/>
          <w:rtl w:val="0"/>
        </w:rPr>
        <w:t xml:space="preserve">Garantizar a los usuarios de los servicios contratados por los clientes las condiciones de seguridad que se requieran durante el desarrollo de los eventos.</w:t>
      </w:r>
    </w:p>
    <w:p w:rsidR="00000000" w:rsidDel="00000000" w:rsidP="00000000" w:rsidRDefault="00000000" w:rsidRPr="00000000" w14:paraId="00000217">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leader="none" w:pos="338"/>
        </w:tabs>
        <w:spacing w:after="0" w:before="3" w:line="235" w:lineRule="auto"/>
        <w:ind w:left="118" w:right="138" w:firstLine="0"/>
        <w:jc w:val="left"/>
        <w:rPr>
          <w:rFonts w:ascii="Garamond" w:cs="Garamond" w:eastAsia="Garamond" w:hAnsi="Garamond"/>
          <w:b w:val="0"/>
          <w:bCs w:val="0"/>
          <w:i w:val="1"/>
          <w:iCs w:val="1"/>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1"/>
          <w:iCs w:val="1"/>
          <w:smallCaps w:val="0"/>
          <w:strike w:val="0"/>
          <w:color w:val="000000"/>
          <w:sz w:val="24"/>
          <w:szCs w:val="24"/>
          <w:u w:val="none"/>
          <w:shd w:fill="auto" w:val="clear"/>
          <w:vertAlign w:val="baseline"/>
          <w:rtl w:val="0"/>
        </w:rPr>
        <w:t xml:space="preserve">Establecer programas de capacitación relacionados con la prestación del servicio, para un mejor ejercicio de su actividad profesional.</w:t>
      </w:r>
    </w:p>
    <w:p w:rsidR="00000000" w:rsidDel="00000000" w:rsidP="00000000" w:rsidRDefault="00000000" w:rsidRPr="00000000" w14:paraId="00000218">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leader="none" w:pos="345"/>
        </w:tabs>
        <w:spacing w:after="0" w:before="0" w:line="268" w:lineRule="auto"/>
        <w:ind w:left="344" w:right="0" w:hanging="227"/>
        <w:jc w:val="left"/>
        <w:rPr>
          <w:rFonts w:ascii="Garamond" w:cs="Garamond" w:eastAsia="Garamond" w:hAnsi="Garamond"/>
          <w:b w:val="0"/>
          <w:bCs w:val="0"/>
          <w:i w:val="1"/>
          <w:iCs w:val="1"/>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1"/>
          <w:iCs w:val="1"/>
          <w:smallCaps w:val="0"/>
          <w:strike w:val="0"/>
          <w:color w:val="000000"/>
          <w:sz w:val="24"/>
          <w:szCs w:val="24"/>
          <w:u w:val="none"/>
          <w:shd w:fill="auto" w:val="clear"/>
          <w:vertAlign w:val="baseline"/>
          <w:rtl w:val="0"/>
        </w:rPr>
        <w:t xml:space="preserve">Prestar atención y asistencia profesional a los clientes y a los participantes de los eventos.</w:t>
      </w:r>
    </w:p>
    <w:p w:rsidR="00000000" w:rsidDel="00000000" w:rsidP="00000000" w:rsidRDefault="00000000" w:rsidRPr="00000000" w14:paraId="00000219">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leader="none" w:pos="400"/>
        </w:tabs>
        <w:spacing w:after="0" w:before="0" w:line="235" w:lineRule="auto"/>
        <w:ind w:left="118" w:right="142" w:firstLine="0"/>
        <w:jc w:val="left"/>
        <w:rPr>
          <w:rFonts w:ascii="Garamond" w:cs="Garamond" w:eastAsia="Garamond" w:hAnsi="Garamond"/>
          <w:b w:val="0"/>
          <w:bCs w:val="0"/>
          <w:i w:val="1"/>
          <w:iCs w:val="1"/>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1"/>
          <w:iCs w:val="1"/>
          <w:smallCaps w:val="0"/>
          <w:strike w:val="0"/>
          <w:color w:val="000000"/>
          <w:sz w:val="24"/>
          <w:szCs w:val="24"/>
          <w:u w:val="none"/>
          <w:shd w:fill="auto" w:val="clear"/>
          <w:vertAlign w:val="baseline"/>
          <w:rtl w:val="0"/>
        </w:rPr>
        <w:t xml:space="preserve">Asesorar profesionalmente a los clientes sobre las alternativas más convenientes en materia de contratación, comercialización y en general en todo lo relacionado con el desarrollo de los eventos.</w:t>
      </w:r>
    </w:p>
    <w:p w:rsidR="00000000" w:rsidDel="00000000" w:rsidP="00000000" w:rsidRDefault="00000000" w:rsidRPr="00000000" w14:paraId="0000021A">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leader="none" w:pos="345"/>
        </w:tabs>
        <w:spacing w:after="0" w:before="0" w:line="268" w:lineRule="auto"/>
        <w:ind w:left="344" w:right="0" w:hanging="227"/>
        <w:jc w:val="left"/>
        <w:rPr>
          <w:rFonts w:ascii="Garamond" w:cs="Garamond" w:eastAsia="Garamond" w:hAnsi="Garamond"/>
          <w:b w:val="0"/>
          <w:bCs w:val="0"/>
          <w:i w:val="1"/>
          <w:iCs w:val="1"/>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1"/>
          <w:iCs w:val="1"/>
          <w:smallCaps w:val="0"/>
          <w:strike w:val="0"/>
          <w:color w:val="000000"/>
          <w:sz w:val="24"/>
          <w:szCs w:val="24"/>
          <w:u w:val="none"/>
          <w:shd w:fill="auto" w:val="clear"/>
          <w:vertAlign w:val="baseline"/>
          <w:rtl w:val="0"/>
        </w:rPr>
        <w:t xml:space="preserve">Informar veraz y oportunamente los costos y tarifas de todos los servicios que hacen parte del evento.</w:t>
      </w:r>
    </w:p>
    <w:p w:rsidR="00000000" w:rsidDel="00000000" w:rsidP="00000000" w:rsidRDefault="00000000" w:rsidRPr="00000000" w14:paraId="0000021B">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leader="none" w:pos="345"/>
        </w:tabs>
        <w:spacing w:after="0" w:before="0" w:line="274" w:lineRule="auto"/>
        <w:ind w:left="344" w:right="0" w:hanging="227"/>
        <w:jc w:val="left"/>
        <w:rPr>
          <w:rFonts w:ascii="Garamond" w:cs="Garamond" w:eastAsia="Garamond" w:hAnsi="Garamond"/>
          <w:b w:val="0"/>
          <w:bCs w:val="0"/>
          <w:i w:val="1"/>
          <w:iCs w:val="1"/>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1"/>
          <w:iCs w:val="1"/>
          <w:smallCaps w:val="0"/>
          <w:strike w:val="0"/>
          <w:color w:val="000000"/>
          <w:sz w:val="24"/>
          <w:szCs w:val="24"/>
          <w:u w:val="none"/>
          <w:shd w:fill="auto" w:val="clear"/>
          <w:vertAlign w:val="baseline"/>
          <w:rtl w:val="0"/>
        </w:rPr>
        <w:t xml:space="preserve">Extender a los clientes un comprobante que especifique los servicios contratados".</w:t>
      </w:r>
    </w:p>
    <w:p w:rsidR="00000000" w:rsidDel="00000000" w:rsidP="00000000" w:rsidRDefault="00000000" w:rsidRPr="00000000" w14:paraId="000002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left"/>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1D">
      <w:pPr>
        <w:spacing w:line="235" w:lineRule="auto"/>
        <w:ind w:left="118" w:right="135" w:firstLine="0"/>
        <w:jc w:val="both"/>
        <w:rPr>
          <w:rFonts w:ascii="Garamond" w:cs="Garamond" w:eastAsia="Garamond" w:hAnsi="Garamond"/>
          <w:i w:val="1"/>
          <w:iCs w:val="1"/>
          <w:sz w:val="24"/>
          <w:szCs w:val="24"/>
        </w:rPr>
      </w:pPr>
      <w:r w:rsidDel="00000000" w:rsidR="00000000" w:rsidRPr="00000000">
        <w:rPr>
          <w:rFonts w:ascii="Garamond" w:cs="Garamond" w:eastAsia="Garamond" w:hAnsi="Garamond"/>
          <w:sz w:val="24"/>
          <w:szCs w:val="24"/>
          <w:rtl w:val="0"/>
        </w:rPr>
        <w:t xml:space="preserve">Adicionalmente el Decreto en mención, señala en su artículo 3 que </w:t>
      </w:r>
      <w:r w:rsidDel="00000000" w:rsidR="00000000" w:rsidRPr="00000000">
        <w:rPr>
          <w:rFonts w:ascii="Garamond" w:cs="Garamond" w:eastAsia="Garamond" w:hAnsi="Garamond"/>
          <w:i w:val="1"/>
          <w:iCs w:val="1"/>
          <w:sz w:val="24"/>
          <w:szCs w:val="24"/>
          <w:rtl w:val="0"/>
        </w:rPr>
        <w:t xml:space="preserve">“Los operadores profesionales de congresos, ferias y convenciones deberán acreditar su inscripción en el Registro Nacional de Turismo al momento de contratar con entidades públicas o privadas. (…)”.</w:t>
      </w:r>
    </w:p>
    <w:p w:rsidR="00000000" w:rsidDel="00000000" w:rsidP="00000000" w:rsidRDefault="00000000" w:rsidRPr="00000000" w14:paraId="000002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left"/>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1F">
      <w:pPr>
        <w:spacing w:before="1" w:line="235" w:lineRule="auto"/>
        <w:ind w:left="118" w:right="132" w:firstLine="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RESOLUCIÓN 375 DE 2006 </w:t>
      </w:r>
      <w:r w:rsidDel="00000000" w:rsidR="00000000" w:rsidRPr="00000000">
        <w:rPr>
          <w:rFonts w:ascii="Garamond" w:cs="Garamond" w:eastAsia="Garamond" w:hAnsi="Garamond"/>
          <w:i w:val="1"/>
          <w:iCs w:val="1"/>
          <w:sz w:val="24"/>
          <w:szCs w:val="24"/>
          <w:rtl w:val="0"/>
        </w:rPr>
        <w:t xml:space="preserve">“Por la cual se establecen las condiciones básicas para las empresas que prestan el servicio de logística en las aglomeraciones de público en el Distrito Capital”: establece en su artículo 2 la obligación a las empresas de logística que sean responsables de eventos de alta complejidad, estar registradas en la base de datos de la Dirección de prevención y atención de emergencias – DPAE, como empresas de Logística responsables de eventos de alta complejidad, con una anterioridad no inferior a 6 meses respecto de la fecha de realización del evento, entre otros.</w:t>
      </w:r>
      <w:r w:rsidDel="00000000" w:rsidR="00000000" w:rsidRPr="00000000">
        <w:rPr>
          <w:rtl w:val="0"/>
        </w:rPr>
      </w:r>
    </w:p>
    <w:p w:rsidR="00000000" w:rsidDel="00000000" w:rsidP="00000000" w:rsidRDefault="00000000" w:rsidRPr="00000000" w14:paraId="000002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left"/>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21">
      <w:pPr>
        <w:spacing w:before="1" w:line="235" w:lineRule="auto"/>
        <w:ind w:left="118" w:right="135" w:firstLine="0"/>
        <w:jc w:val="both"/>
        <w:rPr>
          <w:rFonts w:ascii="Garamond" w:cs="Garamond" w:eastAsia="Garamond" w:hAnsi="Garamond"/>
          <w:i w:val="1"/>
          <w:iCs w:val="1"/>
          <w:sz w:val="24"/>
          <w:szCs w:val="24"/>
        </w:rPr>
      </w:pPr>
      <w:r w:rsidDel="00000000" w:rsidR="00000000" w:rsidRPr="00000000">
        <w:rPr>
          <w:rFonts w:ascii="Garamond" w:cs="Garamond" w:eastAsia="Garamond" w:hAnsi="Garamond"/>
          <w:sz w:val="24"/>
          <w:szCs w:val="24"/>
          <w:rtl w:val="0"/>
        </w:rPr>
        <w:t xml:space="preserve">DECRETO 3888 DE 2007 </w:t>
      </w:r>
      <w:r w:rsidDel="00000000" w:rsidR="00000000" w:rsidRPr="00000000">
        <w:rPr>
          <w:rFonts w:ascii="Garamond" w:cs="Garamond" w:eastAsia="Garamond" w:hAnsi="Garamond"/>
          <w:i w:val="1"/>
          <w:iCs w:val="1"/>
          <w:sz w:val="24"/>
          <w:szCs w:val="24"/>
          <w:rtl w:val="0"/>
        </w:rPr>
        <w:t xml:space="preserve">“Por el cual se adopta el Plan Nacional de Emergencia y Contingencia para Eventos de Afluencia Masiva de Público y se conforma la Comisión Nacional Asesora de Programas Masivos y se dictan otras disposiciones”. señala en su artículo 18 que “las empresas prestadoras de servicios para los eventos de afluencia masiva de público como instalación de escenarios, primeros auxilios, vigilancia, seguridad, acomodación y en general los servicios logísticos requeridos, deben garantizar y/o demostrar mediante constancias y certificados, tanto a la administración local como a los administradores de los escenarios, su idoneidad, capacitación y experiencia en la prestación de los diferentes servicios en los eventos de afluencia masiva de público, citando su disponibilidad de personal formado y entrenado, infraestructura, elementos y equipos adecuados para la prestación óptima del servicio”.</w:t>
      </w:r>
    </w:p>
    <w:p w:rsidR="00000000" w:rsidDel="00000000" w:rsidP="00000000" w:rsidRDefault="00000000" w:rsidRPr="00000000" w14:paraId="000002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2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2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2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226">
      <w:pPr>
        <w:keepNext w:val="0"/>
        <w:keepLines w:val="0"/>
        <w:pageBreakBefore w:val="0"/>
        <w:widowControl w:val="0"/>
        <w:numPr>
          <w:ilvl w:val="0"/>
          <w:numId w:val="10"/>
        </w:numPr>
        <w:pBdr>
          <w:top w:space="0" w:sz="0" w:val="nil"/>
          <w:left w:space="0" w:sz="0" w:val="nil"/>
          <w:bottom w:space="0" w:sz="0" w:val="nil"/>
          <w:right w:space="0" w:sz="0" w:val="nil"/>
          <w:between w:space="0" w:sz="0" w:val="nil"/>
        </w:pBdr>
        <w:shd w:fill="auto" w:val="clear"/>
        <w:spacing w:after="0" w:before="0" w:line="240" w:lineRule="auto"/>
        <w:ind w:left="402" w:right="0" w:hanging="284"/>
        <w:jc w:val="both"/>
        <w:rPr>
          <w:rFonts w:ascii="Garamond" w:cs="Garamond" w:eastAsia="Garamond" w:hAnsi="Garamond"/>
          <w:b w:val="1"/>
          <w:bCs w:val="1"/>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1"/>
          <w:bCs w:val="1"/>
          <w:i w:val="0"/>
          <w:iCs w:val="0"/>
          <w:smallCaps w:val="0"/>
          <w:strike w:val="0"/>
          <w:color w:val="000000"/>
          <w:sz w:val="24"/>
          <w:szCs w:val="24"/>
          <w:u w:val="none"/>
          <w:shd w:fill="auto" w:val="clear"/>
          <w:vertAlign w:val="baseline"/>
          <w:rtl w:val="0"/>
        </w:rPr>
        <w:t xml:space="preserve">OTROS ASPECTOS</w:t>
      </w:r>
    </w:p>
    <w:p w:rsidR="00000000" w:rsidDel="00000000" w:rsidP="00000000" w:rsidRDefault="00000000" w:rsidRPr="00000000" w14:paraId="000002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02" w:right="0" w:firstLine="0"/>
        <w:jc w:val="both"/>
        <w:rPr>
          <w:rFonts w:ascii="Garamond" w:cs="Garamond" w:eastAsia="Garamond" w:hAnsi="Garamond"/>
          <w:b w:val="1"/>
          <w:bCs w:val="1"/>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28">
      <w:pPr>
        <w:keepNext w:val="0"/>
        <w:keepLines w:val="0"/>
        <w:pageBreakBefore w:val="0"/>
        <w:widowControl w:val="0"/>
        <w:numPr>
          <w:ilvl w:val="1"/>
          <w:numId w:val="10"/>
        </w:numPr>
        <w:pBdr>
          <w:top w:space="0" w:sz="0" w:val="nil"/>
          <w:left w:space="0" w:sz="0" w:val="nil"/>
          <w:bottom w:space="0" w:sz="0" w:val="nil"/>
          <w:right w:space="0" w:sz="0" w:val="nil"/>
          <w:between w:space="0" w:sz="0" w:val="nil"/>
        </w:pBdr>
        <w:shd w:fill="auto" w:val="clear"/>
        <w:spacing w:after="0" w:before="0" w:line="240" w:lineRule="auto"/>
        <w:ind w:left="838" w:right="0" w:hanging="720"/>
        <w:jc w:val="both"/>
        <w:rPr>
          <w:rFonts w:ascii="Garamond" w:cs="Garamond" w:eastAsia="Garamond" w:hAnsi="Garamond"/>
          <w:b w:val="1"/>
          <w:bCs w:val="1"/>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1"/>
          <w:bCs w:val="1"/>
          <w:i w:val="0"/>
          <w:iCs w:val="0"/>
          <w:smallCaps w:val="0"/>
          <w:strike w:val="0"/>
          <w:color w:val="000000"/>
          <w:sz w:val="24"/>
          <w:szCs w:val="24"/>
          <w:u w:val="none"/>
          <w:shd w:fill="auto" w:val="clear"/>
          <w:vertAlign w:val="baseline"/>
          <w:rtl w:val="0"/>
        </w:rPr>
        <w:t xml:space="preserve">ASPECTOS AMBIENTALES</w:t>
      </w:r>
    </w:p>
    <w:p w:rsidR="00000000" w:rsidDel="00000000" w:rsidP="00000000" w:rsidRDefault="00000000" w:rsidRPr="00000000" w14:paraId="00000229">
      <w:pPr>
        <w:jc w:val="both"/>
        <w:rPr>
          <w:rFonts w:ascii="Garamond" w:cs="Garamond" w:eastAsia="Garamond" w:hAnsi="Garamond"/>
          <w:b w:val="1"/>
          <w:bCs w:val="1"/>
          <w:sz w:val="24"/>
          <w:szCs w:val="24"/>
        </w:rPr>
      </w:pPr>
      <w:r w:rsidDel="00000000" w:rsidR="00000000" w:rsidRPr="00000000">
        <w:rPr>
          <w:rtl w:val="0"/>
        </w:rPr>
      </w:r>
    </w:p>
    <w:p w:rsidR="00000000" w:rsidDel="00000000" w:rsidP="00000000" w:rsidRDefault="00000000" w:rsidRPr="00000000" w14:paraId="0000022A">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La Alcaldía Local de San Cristóbal, cumple la normatividad ambiental, mejora continuamente sus procesos para liderar, prevenir, mitigar, proteger, conservar y hacer un uso racional de los recursos naturales y del medio ambiente, siendo modelo de responsabilidad ambiental en la gestión pública. </w:t>
      </w:r>
    </w:p>
    <w:p w:rsidR="00000000" w:rsidDel="00000000" w:rsidP="00000000" w:rsidRDefault="00000000" w:rsidRPr="00000000" w14:paraId="0000022B">
      <w:pPr>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22C">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En consecuencia, la Entidad desarrolla los lineamientos sectoriales contenidos en el Plan Institucional de Gestión Ambiental – PIGA, que se concreta a través de los Programas de Gestión en Residuos, Agua, Energía, Condiciones Internas, Buenas Prácticas y Gestión Contractual. Dichos Programas están sujetos al mejoramiento continuo, por parte de la Entidad, para el beneficio general.</w:t>
      </w:r>
    </w:p>
    <w:p w:rsidR="00000000" w:rsidDel="00000000" w:rsidP="00000000" w:rsidRDefault="00000000" w:rsidRPr="00000000" w14:paraId="0000022D">
      <w:pPr>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22E">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Con el fin de formar y mantener el conocimiento y la convicción suficientes sobre la necesidad de proteger el ambiente y de manejar bien los recursos naturales, el contratista se compromete con el Fondo de Desarrollo Local de San Cristóbal, a dar estricto cumplimiento a lo establecido en la Guía de compras Públicas Sostenibles del Ministerio de Ambiente y Desarrollo Sostenible y Guía de Contratación Sostenible (Código GCO-GCI-IN001), expedido por la Secretaría Distrital de Gobierno de Bogotá, a la Política Ambiental y a la reducción de la contaminación.</w:t>
      </w:r>
    </w:p>
    <w:p w:rsidR="00000000" w:rsidDel="00000000" w:rsidP="00000000" w:rsidRDefault="00000000" w:rsidRPr="00000000" w14:paraId="0000022F">
      <w:pPr>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230">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Para el presente proceso, el adjudicatario deberá presentar con los informes mensuales de avance, las siguientes fichas de contratación sostenibles:</w:t>
      </w:r>
    </w:p>
    <w:p w:rsidR="00000000" w:rsidDel="00000000" w:rsidP="00000000" w:rsidRDefault="00000000" w:rsidRPr="00000000" w14:paraId="00000231">
      <w:pPr>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232">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Ficha No. 9. Impresión de folletos y publicaciones</w:t>
      </w:r>
    </w:p>
    <w:p w:rsidR="00000000" w:rsidDel="00000000" w:rsidP="00000000" w:rsidRDefault="00000000" w:rsidRPr="00000000" w14:paraId="00000233">
      <w:pPr>
        <w:jc w:val="both"/>
        <w:rPr>
          <w:rFonts w:ascii="Garamond" w:cs="Garamond" w:eastAsia="Garamond" w:hAnsi="Garamond"/>
          <w:b w:val="1"/>
          <w:bCs w:val="1"/>
          <w:sz w:val="24"/>
          <w:szCs w:val="24"/>
        </w:rPr>
      </w:pPr>
      <w:r w:rsidDel="00000000" w:rsidR="00000000" w:rsidRPr="00000000">
        <w:rPr>
          <w:rtl w:val="0"/>
        </w:rPr>
      </w:r>
    </w:p>
    <w:p w:rsidR="00000000" w:rsidDel="00000000" w:rsidP="00000000" w:rsidRDefault="00000000" w:rsidRPr="00000000" w14:paraId="00000234">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Ficha No. 10 Servicio de transporte</w:t>
      </w:r>
    </w:p>
    <w:p w:rsidR="00000000" w:rsidDel="00000000" w:rsidP="00000000" w:rsidRDefault="00000000" w:rsidRPr="00000000" w14:paraId="00000235">
      <w:pPr>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236">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Ficha No. 23. Servicio de logística / catering (elaborar y/o servir bebidas y alimentos en un evento)</w:t>
      </w:r>
    </w:p>
    <w:p w:rsidR="00000000" w:rsidDel="00000000" w:rsidP="00000000" w:rsidRDefault="00000000" w:rsidRPr="00000000" w14:paraId="00000237">
      <w:pPr>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238">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Ficha No. 26. Criterios sostenibles para incluir en otros procesos de manera voluntaria</w:t>
      </w:r>
    </w:p>
    <w:p w:rsidR="00000000" w:rsidDel="00000000" w:rsidP="00000000" w:rsidRDefault="00000000" w:rsidRPr="00000000" w14:paraId="00000239">
      <w:pPr>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23A">
      <w:pPr>
        <w:keepNext w:val="0"/>
        <w:keepLines w:val="0"/>
        <w:pageBreakBefore w:val="0"/>
        <w:widowControl w:val="0"/>
        <w:numPr>
          <w:ilvl w:val="1"/>
          <w:numId w:val="6"/>
        </w:numPr>
        <w:pBdr>
          <w:top w:space="0" w:sz="0" w:val="nil"/>
          <w:left w:space="0" w:sz="0" w:val="nil"/>
          <w:bottom w:space="0" w:sz="0" w:val="nil"/>
          <w:right w:space="0" w:sz="0" w:val="nil"/>
          <w:between w:space="0" w:sz="0" w:val="nil"/>
        </w:pBdr>
        <w:shd w:fill="auto" w:val="clear"/>
        <w:spacing w:after="0" w:before="0" w:line="240" w:lineRule="auto"/>
        <w:ind w:left="720" w:right="0" w:hanging="720"/>
        <w:jc w:val="both"/>
        <w:rPr>
          <w:rFonts w:ascii="Garamond" w:cs="Garamond" w:eastAsia="Garamond" w:hAnsi="Garamond"/>
          <w:b w:val="1"/>
          <w:bCs w:val="1"/>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1"/>
          <w:bCs w:val="1"/>
          <w:i w:val="0"/>
          <w:iCs w:val="0"/>
          <w:smallCaps w:val="0"/>
          <w:strike w:val="0"/>
          <w:color w:val="000000"/>
          <w:sz w:val="24"/>
          <w:szCs w:val="24"/>
          <w:u w:val="none"/>
          <w:shd w:fill="auto" w:val="clear"/>
          <w:vertAlign w:val="baseline"/>
          <w:rtl w:val="0"/>
        </w:rPr>
        <w:t xml:space="preserve">ANÁLISIS DE CONSULTAS REALIZADAS EN TIENDA VIRTUAL DEL ESTADO COLOMBIANO Y/O BOLSA DE PRODUCTOS</w:t>
      </w:r>
    </w:p>
    <w:p w:rsidR="00000000" w:rsidDel="00000000" w:rsidP="00000000" w:rsidRDefault="00000000" w:rsidRPr="00000000" w14:paraId="0000023B">
      <w:pPr>
        <w:jc w:val="both"/>
        <w:rPr>
          <w:rFonts w:ascii="Garamond" w:cs="Garamond" w:eastAsia="Garamond" w:hAnsi="Garamond"/>
          <w:b w:val="1"/>
          <w:bCs w:val="1"/>
          <w:sz w:val="24"/>
          <w:szCs w:val="24"/>
        </w:rPr>
      </w:pPr>
      <w:r w:rsidDel="00000000" w:rsidR="00000000" w:rsidRPr="00000000">
        <w:rPr>
          <w:rtl w:val="0"/>
        </w:rPr>
      </w:r>
    </w:p>
    <w:p w:rsidR="00000000" w:rsidDel="00000000" w:rsidP="00000000" w:rsidRDefault="00000000" w:rsidRPr="00000000" w14:paraId="0000023C">
      <w:pPr>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Tienda Virtual del Estado Colombiano – Acuerdo Marco de Precios. </w:t>
      </w:r>
    </w:p>
    <w:p w:rsidR="00000000" w:rsidDel="00000000" w:rsidP="00000000" w:rsidRDefault="00000000" w:rsidRPr="00000000" w14:paraId="0000023D">
      <w:pPr>
        <w:jc w:val="both"/>
        <w:rPr>
          <w:rFonts w:ascii="Garamond" w:cs="Garamond" w:eastAsia="Garamond" w:hAnsi="Garamond"/>
          <w:b w:val="1"/>
          <w:bCs w:val="1"/>
          <w:sz w:val="24"/>
          <w:szCs w:val="24"/>
        </w:rPr>
      </w:pPr>
      <w:r w:rsidDel="00000000" w:rsidR="00000000" w:rsidRPr="00000000">
        <w:rPr>
          <w:rtl w:val="0"/>
        </w:rPr>
      </w:r>
    </w:p>
    <w:p w:rsidR="00000000" w:rsidDel="00000000" w:rsidP="00000000" w:rsidRDefault="00000000" w:rsidRPr="00000000" w14:paraId="0000023E">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A través del portal electrónico de Colombia Compra Eficiente se puede efectuar la verificación de los acuerdos marco vigentes. En primera instancia es preciso señalar que la Agencia Nacional de Contratación Pública – COLOMBIA COMPRA EFICIENTE cuenta con módulo de búsqueda de Acuerdos Marcos o Instrumentos de Agregación a la Demanda con el cual se consultan potenciales objetos de estos que puedan satisfacer la necesidad de la Entidad, para lo cual se identifican y se relacionan a continuación: A la fecha NO SE REGISTRA un acuerdo marco que cumpla con las necesidades de la entidad para el presente proceso.</w:t>
      </w:r>
    </w:p>
    <w:p w:rsidR="00000000" w:rsidDel="00000000" w:rsidP="00000000" w:rsidRDefault="00000000" w:rsidRPr="00000000" w14:paraId="0000023F">
      <w:pPr>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240">
      <w:pPr>
        <w:jc w:val="both"/>
        <w:rPr>
          <w:rFonts w:ascii="Garamond" w:cs="Garamond" w:eastAsia="Garamond" w:hAnsi="Garamond"/>
          <w:sz w:val="24"/>
          <w:szCs w:val="24"/>
        </w:rPr>
      </w:pPr>
      <w:r w:rsidDel="00000000" w:rsidR="00000000" w:rsidRPr="00000000">
        <w:rPr>
          <w:rFonts w:ascii="Garamond" w:cs="Garamond" w:eastAsia="Garamond" w:hAnsi="Garamond"/>
          <w:sz w:val="24"/>
          <w:szCs w:val="24"/>
        </w:rPr>
        <w:drawing>
          <wp:inline distB="0" distT="0" distL="0" distR="0">
            <wp:extent cx="6134100" cy="2492375"/>
            <wp:effectExtent b="0" l="0" r="0" t="0"/>
            <wp:docPr id="33" name="image25.png"/>
            <a:graphic>
              <a:graphicData uri="http://schemas.openxmlformats.org/drawingml/2006/picture">
                <pic:pic>
                  <pic:nvPicPr>
                    <pic:cNvPr id="0" name="image25.png"/>
                    <pic:cNvPicPr preferRelativeResize="0"/>
                  </pic:nvPicPr>
                  <pic:blipFill>
                    <a:blip r:embed="rId38"/>
                    <a:srcRect b="0" l="0" r="0" t="0"/>
                    <a:stretch>
                      <a:fillRect/>
                    </a:stretch>
                  </pic:blipFill>
                  <pic:spPr>
                    <a:xfrm>
                      <a:off x="0" y="0"/>
                      <a:ext cx="6134100" cy="2492375"/>
                    </a:xfrm>
                    <a:prstGeom prst="rect"/>
                    <a:ln/>
                  </pic:spPr>
                </pic:pic>
              </a:graphicData>
            </a:graphic>
          </wp:inline>
        </w:drawing>
      </w:r>
      <w:r w:rsidDel="00000000" w:rsidR="00000000" w:rsidRPr="00000000">
        <w:rPr>
          <w:rtl w:val="0"/>
        </w:rPr>
      </w:r>
    </w:p>
    <w:p w:rsidR="00000000" w:rsidDel="00000000" w:rsidP="00000000" w:rsidRDefault="00000000" w:rsidRPr="00000000" w14:paraId="00000241">
      <w:pPr>
        <w:jc w:val="both"/>
        <w:rPr>
          <w:rFonts w:ascii="Garamond" w:cs="Garamond" w:eastAsia="Garamond" w:hAnsi="Garamond"/>
          <w:b w:val="1"/>
          <w:bCs w:val="1"/>
          <w:sz w:val="24"/>
          <w:szCs w:val="24"/>
        </w:rPr>
      </w:pPr>
      <w:r w:rsidDel="00000000" w:rsidR="00000000" w:rsidRPr="00000000">
        <w:rPr>
          <w:rtl w:val="0"/>
        </w:rPr>
      </w:r>
    </w:p>
    <w:p w:rsidR="00000000" w:rsidDel="00000000" w:rsidP="00000000" w:rsidRDefault="00000000" w:rsidRPr="00000000" w14:paraId="000002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left"/>
        <w:rPr>
          <w:rFonts w:ascii="Garamond" w:cs="Garamond" w:eastAsia="Garamond" w:hAnsi="Garamond"/>
          <w:b w:val="1"/>
          <w:bCs w:val="1"/>
          <w:i w:val="0"/>
          <w:iCs w:val="0"/>
          <w:smallCaps w:val="0"/>
          <w:strike w:val="0"/>
          <w:color w:val="000000"/>
          <w:sz w:val="23"/>
          <w:szCs w:val="23"/>
          <w:u w:val="none"/>
          <w:shd w:fill="auto" w:val="clear"/>
          <w:vertAlign w:val="baseline"/>
        </w:rPr>
      </w:pPr>
      <w:r w:rsidDel="00000000" w:rsidR="00000000" w:rsidRPr="00000000">
        <w:rPr>
          <w:rtl w:val="0"/>
        </w:rPr>
      </w:r>
    </w:p>
    <w:p w:rsidR="00000000" w:rsidDel="00000000" w:rsidP="00000000" w:rsidRDefault="00000000" w:rsidRPr="00000000" w14:paraId="000002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both"/>
        <w:rPr>
          <w:rFonts w:ascii="Garamond" w:cs="Garamond" w:eastAsia="Garamond" w:hAnsi="Garamond"/>
          <w:b w:val="1"/>
          <w:bCs w:val="1"/>
          <w:i w:val="0"/>
          <w:iCs w:val="0"/>
          <w:smallCaps w:val="0"/>
          <w:strike w:val="0"/>
          <w:color w:val="000000"/>
          <w:sz w:val="24"/>
          <w:szCs w:val="24"/>
          <w:u w:val="single"/>
          <w:shd w:fill="auto" w:val="clear"/>
          <w:vertAlign w:val="baseline"/>
        </w:rPr>
      </w:pPr>
      <w:r w:rsidDel="00000000" w:rsidR="00000000" w:rsidRPr="00000000">
        <w:rPr>
          <w:rFonts w:ascii="Garamond" w:cs="Garamond" w:eastAsia="Garamond" w:hAnsi="Garamond"/>
          <w:b w:val="1"/>
          <w:bCs w:val="1"/>
          <w:i w:val="0"/>
          <w:iCs w:val="0"/>
          <w:smallCaps w:val="0"/>
          <w:strike w:val="0"/>
          <w:color w:val="000000"/>
          <w:sz w:val="24"/>
          <w:szCs w:val="24"/>
          <w:u w:val="single"/>
          <w:shd w:fill="auto" w:val="clear"/>
          <w:vertAlign w:val="baseline"/>
          <w:rtl w:val="0"/>
        </w:rPr>
        <w:t xml:space="preserve">Bolsa de Productos</w:t>
      </w:r>
      <w:r w:rsidDel="00000000" w:rsidR="00000000" w:rsidRPr="00000000">
        <w:rPr>
          <w:rFonts w:ascii="Garamond" w:cs="Garamond" w:eastAsia="Garamond" w:hAnsi="Garamond"/>
          <w:b w:val="1"/>
          <w:bCs w:val="1"/>
          <w:i w:val="0"/>
          <w:iCs w:val="0"/>
          <w:smallCaps w:val="0"/>
          <w:strike w:val="0"/>
          <w:color w:val="000000"/>
          <w:sz w:val="24"/>
          <w:szCs w:val="24"/>
          <w:u w:val="single"/>
          <w:shd w:fill="auto" w:val="clear"/>
          <w:vertAlign w:val="superscript"/>
        </w:rPr>
        <w:footnoteReference w:customMarkFollows="0" w:id="13"/>
      </w:r>
      <w:r w:rsidDel="00000000" w:rsidR="00000000" w:rsidRPr="00000000">
        <w:rPr>
          <w:rtl w:val="0"/>
        </w:rPr>
      </w:r>
    </w:p>
    <w:p w:rsidR="00000000" w:rsidDel="00000000" w:rsidP="00000000" w:rsidRDefault="00000000" w:rsidRPr="00000000" w14:paraId="000002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La Bolsa Mercantil cuenta con el MCP – Mercado de Compras Públicas, el cual es un escenario de negociación que atiende las necesidades de compra de bienes y servicios de características técnicas uniformes y productos de origen o destinación agropecuaria por parte de Entidades Estatales, mediante un proceso de Selección Abreviada por Bolsa de Productos.</w:t>
      </w:r>
    </w:p>
    <w:p w:rsidR="00000000" w:rsidDel="00000000" w:rsidP="00000000" w:rsidRDefault="00000000" w:rsidRPr="00000000" w14:paraId="000002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Por expresa autorización de la Ley 80 de 1993, de la Ley 1150 de 2007 y del Decreto 1082 de 2015 la Bolsa Mercantil está facultada para que en su rueda de negocios se celebren operaciones por parte de las entidades públicas a través de la modalidad de selección abreviada, la causal de bolsa de productos, para la compra de bienes, productos y servicios de características técnicas uniformes, así como de bienes y productos de origen o destinación agropecuaria.</w:t>
      </w:r>
    </w:p>
    <w:p w:rsidR="00000000" w:rsidDel="00000000" w:rsidP="00000000" w:rsidRDefault="00000000" w:rsidRPr="00000000" w14:paraId="000002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2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2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24C">
      <w:pPr>
        <w:spacing w:before="10" w:lineRule="auto"/>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24D">
      <w:pPr>
        <w:numPr>
          <w:ilvl w:val="0"/>
          <w:numId w:val="7"/>
        </w:numPr>
        <w:spacing w:before="10" w:lineRule="auto"/>
        <w:ind w:left="720" w:hanging="36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Comprador: Entidad pública que acude al escenario de negociación de la Bolsa para adquirir bienes o servicios de características técnicas uniformes o productos de origen o destinación agropecuaria, dadas las facultades otorgadas por la ley. Es importante señalar que la BMC </w:t>
      </w:r>
    </w:p>
    <w:p w:rsidR="00000000" w:rsidDel="00000000" w:rsidP="00000000" w:rsidRDefault="00000000" w:rsidRPr="00000000" w14:paraId="000002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A través de esta modalidad pueden participar los siguientes Grupos de Interés:</w:t>
      </w:r>
    </w:p>
    <w:p w:rsidR="00000000" w:rsidDel="00000000" w:rsidP="00000000" w:rsidRDefault="00000000" w:rsidRPr="00000000" w14:paraId="0000024F">
      <w:pPr>
        <w:keepNext w:val="0"/>
        <w:keepLines w:val="0"/>
        <w:pageBreakBefore w:val="0"/>
        <w:widowControl w:val="0"/>
        <w:numPr>
          <w:ilvl w:val="0"/>
          <w:numId w:val="7"/>
        </w:numPr>
        <w:pBdr>
          <w:top w:space="0" w:sz="0" w:val="nil"/>
          <w:left w:space="0" w:sz="0" w:val="nil"/>
          <w:bottom w:space="0" w:sz="0" w:val="nil"/>
          <w:right w:space="0" w:sz="0" w:val="nil"/>
          <w:between w:space="0" w:sz="0" w:val="nil"/>
        </w:pBdr>
        <w:shd w:fill="auto" w:val="clear"/>
        <w:spacing w:after="0" w:before="10" w:line="240" w:lineRule="auto"/>
        <w:ind w:left="720" w:right="0" w:hanging="36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acompaña en todo momento a la entidad, desde el inicio de la estructuración del negocio hasta la última entrega y pago.</w:t>
      </w:r>
    </w:p>
    <w:p w:rsidR="00000000" w:rsidDel="00000000" w:rsidP="00000000" w:rsidRDefault="00000000" w:rsidRPr="00000000" w14:paraId="00000250">
      <w:pPr>
        <w:keepNext w:val="0"/>
        <w:keepLines w:val="0"/>
        <w:pageBreakBefore w:val="0"/>
        <w:widowControl w:val="0"/>
        <w:numPr>
          <w:ilvl w:val="0"/>
          <w:numId w:val="7"/>
        </w:numPr>
        <w:pBdr>
          <w:top w:space="0" w:sz="0" w:val="nil"/>
          <w:left w:space="0" w:sz="0" w:val="nil"/>
          <w:bottom w:space="0" w:sz="0" w:val="nil"/>
          <w:right w:space="0" w:sz="0" w:val="nil"/>
          <w:between w:space="0" w:sz="0" w:val="nil"/>
        </w:pBdr>
        <w:shd w:fill="auto" w:val="clear"/>
        <w:spacing w:after="0" w:before="10" w:line="240" w:lineRule="auto"/>
        <w:ind w:left="720" w:right="0" w:hanging="36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Sociedad Comisionista Compradora: Firma comisionista autorizada por la Superfinanciera para operar el MCP que actúa como punta compradora, en nombre propio y por cuenta del comprador, previa selección en los términos </w:t>
      </w:r>
      <w:r w:rsidDel="00000000" w:rsidR="00000000" w:rsidRPr="00000000">
        <w:rPr>
          <w:rFonts w:ascii="Garamond" w:cs="Garamond" w:eastAsia="Garamond" w:hAnsi="Garamond"/>
          <w:sz w:val="24"/>
          <w:szCs w:val="24"/>
          <w:rtl w:val="0"/>
        </w:rPr>
        <w:t xml:space="preserve">del Reglamento</w:t>
      </w: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 de Funcionamiento y Operación de la Bolsa.</w:t>
      </w:r>
    </w:p>
    <w:p w:rsidR="00000000" w:rsidDel="00000000" w:rsidP="00000000" w:rsidRDefault="00000000" w:rsidRPr="00000000" w14:paraId="00000251">
      <w:pPr>
        <w:keepNext w:val="0"/>
        <w:keepLines w:val="0"/>
        <w:pageBreakBefore w:val="0"/>
        <w:widowControl w:val="0"/>
        <w:numPr>
          <w:ilvl w:val="0"/>
          <w:numId w:val="7"/>
        </w:numPr>
        <w:pBdr>
          <w:top w:space="0" w:sz="0" w:val="nil"/>
          <w:left w:space="0" w:sz="0" w:val="nil"/>
          <w:bottom w:space="0" w:sz="0" w:val="nil"/>
          <w:right w:space="0" w:sz="0" w:val="nil"/>
          <w:between w:space="0" w:sz="0" w:val="nil"/>
        </w:pBdr>
        <w:shd w:fill="auto" w:val="clear"/>
        <w:spacing w:after="0" w:before="10" w:line="240" w:lineRule="auto"/>
        <w:ind w:left="720" w:right="0" w:hanging="36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Sociedad Comisionista Vendedora: Firma comisionista autorizada por la Superfinanciera para operar el MCP que actúa como punta vendedora, en nombre propio y por cuenta del proveedor de los bienes, productos o servicios.</w:t>
      </w:r>
    </w:p>
    <w:p w:rsidR="00000000" w:rsidDel="00000000" w:rsidP="00000000" w:rsidRDefault="00000000" w:rsidRPr="00000000" w14:paraId="00000252">
      <w:pPr>
        <w:keepNext w:val="0"/>
        <w:keepLines w:val="0"/>
        <w:pageBreakBefore w:val="0"/>
        <w:widowControl w:val="0"/>
        <w:numPr>
          <w:ilvl w:val="0"/>
          <w:numId w:val="7"/>
        </w:numPr>
        <w:pBdr>
          <w:top w:space="0" w:sz="0" w:val="nil"/>
          <w:left w:space="0" w:sz="0" w:val="nil"/>
          <w:bottom w:space="0" w:sz="0" w:val="nil"/>
          <w:right w:space="0" w:sz="0" w:val="nil"/>
          <w:between w:space="0" w:sz="0" w:val="nil"/>
        </w:pBdr>
        <w:shd w:fill="auto" w:val="clear"/>
        <w:spacing w:after="0" w:before="10" w:line="240" w:lineRule="auto"/>
        <w:ind w:left="720" w:right="0" w:hanging="36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Vendedor (Proveedor): Persona natural o jurídica que individualmente o mediante figura asociativa consorcio o unión temporal suministra productos, bienes y servicios de conformidad a las necesidades del comitente comprador</w:t>
      </w:r>
    </w:p>
    <w:p w:rsidR="00000000" w:rsidDel="00000000" w:rsidP="00000000" w:rsidRDefault="00000000" w:rsidRPr="00000000" w14:paraId="000002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left"/>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left"/>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Dicho esto, se puede establecer que:</w:t>
      </w:r>
    </w:p>
    <w:p w:rsidR="00000000" w:rsidDel="00000000" w:rsidP="00000000" w:rsidRDefault="00000000" w:rsidRPr="00000000" w14:paraId="000002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left"/>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Los bienes y servicios no se encuentran disponibles, y no se identifican ofertados en un catálogo que responda a la totalidad de los requerimientos para una ejecución </w:t>
      </w:r>
      <w:r w:rsidDel="00000000" w:rsidR="00000000" w:rsidRPr="00000000">
        <w:rPr>
          <w:rFonts w:ascii="Garamond" w:cs="Garamond" w:eastAsia="Garamond" w:hAnsi="Garamond"/>
          <w:sz w:val="24"/>
          <w:szCs w:val="24"/>
          <w:rtl w:val="0"/>
        </w:rPr>
        <w:t xml:space="preserve">óptima</w:t>
      </w: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 del contrato.</w:t>
      </w:r>
    </w:p>
    <w:p w:rsidR="00000000" w:rsidDel="00000000" w:rsidP="00000000" w:rsidRDefault="00000000" w:rsidRPr="00000000" w14:paraId="000002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left"/>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58">
      <w:pPr>
        <w:keepNext w:val="0"/>
        <w:keepLines w:val="0"/>
        <w:pageBreakBefore w:val="0"/>
        <w:widowControl w:val="0"/>
        <w:numPr>
          <w:ilvl w:val="1"/>
          <w:numId w:val="6"/>
        </w:numPr>
        <w:pBdr>
          <w:top w:space="0" w:sz="0" w:val="nil"/>
          <w:left w:space="0" w:sz="0" w:val="nil"/>
          <w:bottom w:space="0" w:sz="0" w:val="nil"/>
          <w:right w:space="0" w:sz="0" w:val="nil"/>
          <w:between w:space="0" w:sz="0" w:val="nil"/>
        </w:pBdr>
        <w:shd w:fill="auto" w:val="clear"/>
        <w:tabs>
          <w:tab w:val="left" w:leader="none" w:pos="838"/>
          <w:tab w:val="left" w:leader="none" w:pos="839"/>
        </w:tabs>
        <w:spacing w:after="0" w:before="0" w:line="240" w:lineRule="auto"/>
        <w:ind w:left="720" w:right="0" w:hanging="720"/>
        <w:jc w:val="left"/>
        <w:rPr>
          <w:rFonts w:ascii="Garamond" w:cs="Garamond" w:eastAsia="Garamond" w:hAnsi="Garamond"/>
          <w:b w:val="1"/>
          <w:bCs w:val="1"/>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1"/>
          <w:bCs w:val="1"/>
          <w:i w:val="0"/>
          <w:iCs w:val="0"/>
          <w:smallCaps w:val="0"/>
          <w:strike w:val="0"/>
          <w:color w:val="000000"/>
          <w:sz w:val="24"/>
          <w:szCs w:val="24"/>
          <w:u w:val="none"/>
          <w:shd w:fill="auto" w:val="clear"/>
          <w:vertAlign w:val="baseline"/>
          <w:rtl w:val="0"/>
        </w:rPr>
        <w:t xml:space="preserve">Aspectos Internacionales – Acuerdos comerciales</w:t>
      </w:r>
    </w:p>
    <w:p w:rsidR="00000000" w:rsidDel="00000000" w:rsidP="00000000" w:rsidRDefault="00000000" w:rsidRPr="00000000" w14:paraId="000002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9" w:line="235" w:lineRule="auto"/>
        <w:ind w:left="118" w:right="133"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De conformidad con el artículo 2.2.1.2.4.1.1. del Decreto 1082 de 2015, se revisaron en la plataforma web del Ministerio de Comercio, Industria y Turismo, las pautas para determinar si la presente contratación se encuentra cubierta por algún acuerdo comercial vigente y en el manual para el manejo de los acuerdos comerciales en procesos de contratación, el Fondo de Desarrollo Local de San Cristóbal FDLSC efectúo el análisis correspondiente al respectivo proceso de contratación aplicando las siguientes reglas en orden consecutivo:</w:t>
      </w:r>
    </w:p>
    <w:p w:rsidR="00000000" w:rsidDel="00000000" w:rsidP="00000000" w:rsidRDefault="00000000" w:rsidRPr="00000000" w14:paraId="000002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0" w:lineRule="auto"/>
        <w:ind w:left="0" w:right="0" w:firstLine="0"/>
        <w:jc w:val="left"/>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35" w:lineRule="auto"/>
        <w:ind w:left="118" w:right="139"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Regla 1. Si la Entidad Estatal no hace parte de las Entidades Estatales incluidas en el Acuerdo Comercial, el Proceso de Contratación no está cubierto por </w:t>
      </w:r>
      <w:r w:rsidDel="00000000" w:rsidR="00000000" w:rsidRPr="00000000">
        <w:rPr>
          <w:rFonts w:ascii="Garamond" w:cs="Garamond" w:eastAsia="Garamond" w:hAnsi="Garamond"/>
          <w:sz w:val="24"/>
          <w:szCs w:val="24"/>
          <w:rtl w:val="0"/>
        </w:rPr>
        <w:t xml:space="preserve">éste</w:t>
      </w: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 y, en consecuencia, no es necesario hacer análisis adicional alguno.</w:t>
      </w:r>
    </w:p>
    <w:p w:rsidR="00000000" w:rsidDel="00000000" w:rsidP="00000000" w:rsidRDefault="00000000" w:rsidRPr="00000000" w14:paraId="000002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35" w:lineRule="auto"/>
        <w:ind w:left="118" w:right="139"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0" w:lineRule="auto"/>
        <w:ind w:left="118"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Regla 2. Si la Entidad Estatal está incluida en el Acuerdo Comercial y el presupuesto oficial del Proceso de Contratación es inferior al valor a partir del cual el Acuerdo Comercial es aplicable, el Proceso de Contratación no está cubierto y, en consecuencia, no es necesario hacer análisis adicional alguno.</w:t>
      </w:r>
    </w:p>
    <w:p w:rsidR="00000000" w:rsidDel="00000000" w:rsidP="00000000" w:rsidRDefault="00000000" w:rsidRPr="00000000" w14:paraId="000002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9" w:line="235" w:lineRule="auto"/>
        <w:ind w:left="118" w:right="133"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Regla 3. Si la Entidad Estatal está incluida en el Acuerdo Comercial y el presupuesto oficial del proceso de contratación es superior al valor a partir del cual el acuerdo Comercial es aplicable, la Entidad Estatal debe determinar si hay excepciones aplicables al Proceso de Contratación. Si no hay excepciones, el Acuerdo Comercial es aplicable al Proceso de Contratación.</w:t>
      </w:r>
    </w:p>
    <w:p w:rsidR="00000000" w:rsidDel="00000000" w:rsidP="00000000" w:rsidRDefault="00000000" w:rsidRPr="00000000" w14:paraId="000002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9" w:line="235" w:lineRule="auto"/>
        <w:ind w:left="118" w:right="133"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De acuerdo con el numeral 8 del artículo 2.2.1.1.2.1.1 del Decreto Nacional 1082 de 2015, es necesario indicar si la presente contratación está cobijada por un acuerdo Internacional o un tratado de libre comercio vigente en el Estado Colombiano, conforme a los requisitos que a continuación se establecen: </w:t>
      </w:r>
    </w:p>
    <w:p w:rsidR="00000000" w:rsidDel="00000000" w:rsidP="00000000" w:rsidRDefault="00000000" w:rsidRPr="00000000" w14:paraId="000002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9" w:line="235" w:lineRule="auto"/>
        <w:ind w:left="118" w:right="133"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Para que un bien y/o servicio se encuentre regulado en su totalidad por el capítulo de compras públicas de algún tratado de libre comercio o acuerdo internacional debe cumplir con los requisitos anotados en el Manual de Colombia Compra Eficiente, para lo cual señalaremos, si el bien o servicio a contratar se encuentra cobijado por alguno de los acuerdos descritos a continuación:</w:t>
      </w:r>
      <w:r w:rsidDel="00000000" w:rsidR="00000000" w:rsidRPr="00000000">
        <mc:AlternateContent>
          <mc:Choice Requires="wpg">
            <w:drawing>
              <wp:anchor allowOverlap="1" behindDoc="1" distB="0" distT="0" distL="0" distR="0" hidden="0" layoutInCell="1" locked="0" relativeHeight="0" simplePos="0">
                <wp:simplePos x="0" y="0"/>
                <wp:positionH relativeFrom="column">
                  <wp:posOffset>1856105</wp:posOffset>
                </wp:positionH>
                <wp:positionV relativeFrom="paragraph">
                  <wp:posOffset>1045846</wp:posOffset>
                </wp:positionV>
                <wp:extent cx="82550" cy="147955"/>
                <wp:effectExtent b="0" l="0" r="0" t="0"/>
                <wp:wrapNone/>
                <wp:docPr id="1" name=""/>
                <a:graphic>
                  <a:graphicData uri="http://schemas.microsoft.com/office/word/2010/wordprocessingShape">
                    <wps:wsp>
                      <wps:cNvSpPr/>
                      <wps:cNvPr id="2" name="Shape 2"/>
                      <wps:spPr>
                        <a:xfrm>
                          <a:off x="5314250" y="3715548"/>
                          <a:ext cx="63500" cy="128905"/>
                        </a:xfrm>
                        <a:prstGeom prst="rect">
                          <a:avLst/>
                        </a:prstGeom>
                        <a:noFill/>
                        <a:ln>
                          <a:noFill/>
                        </a:ln>
                      </wps:spPr>
                      <wps:txbx>
                        <w:txbxContent>
                          <w:p w:rsidR="00000000" w:rsidDel="00000000" w:rsidP="00000000" w:rsidRDefault="00000000" w:rsidRPr="00000000">
                            <w:pPr>
                              <w:spacing w:after="0" w:before="0" w:line="194.00000095367432"/>
                              <w:ind w:left="0" w:right="0" w:firstLine="0"/>
                              <w:jc w:val="left"/>
                              <w:textDirection w:val="btLr"/>
                            </w:pPr>
                          </w:p>
                          <w:p w:rsidR="00000000" w:rsidDel="00000000" w:rsidP="00000000" w:rsidRDefault="00000000" w:rsidRPr="00000000">
                            <w:pPr>
                              <w:spacing w:after="0" w:before="0" w:line="194.00000095367432"/>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r>
                          </w:p>
                          <w:p w:rsidR="00000000" w:rsidDel="00000000" w:rsidP="00000000" w:rsidRDefault="00000000" w:rsidRPr="00000000">
                            <w:pPr>
                              <w:spacing w:after="0" w:before="0" w:line="194.00000095367432"/>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r>
                            <w:r w:rsidDel="00000000" w:rsidR="00000000" w:rsidRPr="00000000">
                              <w:rPr>
                                <w:rFonts w:ascii="Times New Roman" w:cs="Times New Roman" w:eastAsia="Times New Roman" w:hAnsi="Times New Roman"/>
                                <w:b w:val="1"/>
                                <w:i w:val="0"/>
                                <w:smallCaps w:val="0"/>
                                <w:strike w:val="0"/>
                                <w:color w:val="000000"/>
                                <w:sz w:val="18"/>
                                <w:vertAlign w:val="baseline"/>
                              </w:rPr>
                              <w:t xml:space="preserve">d</w:t>
                            </w:r>
                          </w:p>
                        </w:txbxContent>
                      </wps:txbx>
                      <wps:bodyPr anchorCtr="0" anchor="t" bIns="0" lIns="0" spcFirstLastPara="1" rIns="0" wrap="square" tIns="0">
                        <a:noAutofit/>
                      </wps:bodyPr>
                    </wps:wsp>
                  </a:graphicData>
                </a:graphic>
              </wp:anchor>
            </w:drawing>
          </mc:Choice>
          <mc:Fallback>
            <w:drawing>
              <wp:anchor allowOverlap="1" behindDoc="1" distB="0" distT="0" distL="0" distR="0" hidden="0" layoutInCell="1" locked="0" relativeHeight="0" simplePos="0">
                <wp:simplePos x="0" y="0"/>
                <wp:positionH relativeFrom="column">
                  <wp:posOffset>1856105</wp:posOffset>
                </wp:positionH>
                <wp:positionV relativeFrom="paragraph">
                  <wp:posOffset>1045846</wp:posOffset>
                </wp:positionV>
                <wp:extent cx="82550" cy="147955"/>
                <wp:effectExtent b="0" l="0" r="0" t="0"/>
                <wp:wrapNone/>
                <wp:docPr id="1" name="image32.png"/>
                <a:graphic>
                  <a:graphicData uri="http://schemas.openxmlformats.org/drawingml/2006/picture">
                    <pic:pic>
                      <pic:nvPicPr>
                        <pic:cNvPr id="0" name="image32.png"/>
                        <pic:cNvPicPr preferRelativeResize="0"/>
                      </pic:nvPicPr>
                      <pic:blipFill>
                        <a:blip r:embed="rId39"/>
                        <a:srcRect/>
                        <a:stretch>
                          <a:fillRect/>
                        </a:stretch>
                      </pic:blipFill>
                      <pic:spPr>
                        <a:xfrm>
                          <a:off x="0" y="0"/>
                          <a:ext cx="82550" cy="147955"/>
                        </a:xfrm>
                        <a:prstGeom prst="rect"/>
                        <a:ln/>
                      </pic:spPr>
                    </pic:pic>
                  </a:graphicData>
                </a:graphic>
              </wp:anchor>
            </w:drawing>
          </mc:Fallback>
        </mc:AlternateContent>
      </w:r>
    </w:p>
    <w:p w:rsidR="00000000" w:rsidDel="00000000" w:rsidP="00000000" w:rsidRDefault="00000000" w:rsidRPr="00000000" w14:paraId="000002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9" w:line="235" w:lineRule="auto"/>
        <w:ind w:left="118" w:right="133"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tbl>
      <w:tblPr>
        <w:tblStyle w:val="Table7"/>
        <w:tblW w:w="9469.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703"/>
        <w:gridCol w:w="1132"/>
        <w:gridCol w:w="849"/>
        <w:gridCol w:w="1133"/>
        <w:gridCol w:w="1702"/>
        <w:gridCol w:w="1416"/>
        <w:gridCol w:w="1528"/>
        <w:gridCol w:w="6"/>
        <w:tblGridChange w:id="0">
          <w:tblGrid>
            <w:gridCol w:w="1703"/>
            <w:gridCol w:w="1132"/>
            <w:gridCol w:w="849"/>
            <w:gridCol w:w="1133"/>
            <w:gridCol w:w="1702"/>
            <w:gridCol w:w="1416"/>
            <w:gridCol w:w="1528"/>
            <w:gridCol w:w="6"/>
          </w:tblGrid>
        </w:tblGridChange>
      </w:tblGrid>
      <w:tr>
        <w:trPr>
          <w:cantSplit w:val="0"/>
          <w:trHeight w:val="995" w:hRule="atLeast"/>
          <w:tblHeader w:val="0"/>
        </w:trPr>
        <w:tc>
          <w:tcPr>
            <w:gridSpan w:val="2"/>
            <w:shd w:fill="d9d9d9" w:val="clear"/>
            <w:vAlign w:val="center"/>
          </w:tcPr>
          <w:p w:rsidR="00000000" w:rsidDel="00000000" w:rsidP="00000000" w:rsidRDefault="00000000" w:rsidRPr="00000000" w14:paraId="0000026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Garamond" w:cs="Garamond" w:eastAsia="Garamond" w:hAnsi="Garamond"/>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63">
            <w:pPr>
              <w:keepNext w:val="0"/>
              <w:keepLines w:val="0"/>
              <w:widowControl w:val="0"/>
              <w:pBdr>
                <w:top w:space="0" w:sz="0" w:val="nil"/>
                <w:left w:space="0" w:sz="0" w:val="nil"/>
                <w:bottom w:space="0" w:sz="0" w:val="nil"/>
                <w:right w:space="0" w:sz="0" w:val="nil"/>
                <w:between w:space="0" w:sz="0" w:val="nil"/>
              </w:pBdr>
              <w:shd w:fill="auto" w:val="clear"/>
              <w:spacing w:after="0" w:before="171" w:line="205" w:lineRule="auto"/>
              <w:ind w:left="244" w:right="0" w:firstLine="0"/>
              <w:jc w:val="center"/>
              <w:rPr>
                <w:rFonts w:ascii="Garamond" w:cs="Garamond" w:eastAsia="Garamond" w:hAnsi="Garamond"/>
                <w:b w:val="1"/>
                <w:bCs w:val="1"/>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1"/>
                <w:bCs w:val="1"/>
                <w:i w:val="0"/>
                <w:iCs w:val="0"/>
                <w:smallCaps w:val="0"/>
                <w:strike w:val="0"/>
                <w:color w:val="000000"/>
                <w:sz w:val="20"/>
                <w:szCs w:val="20"/>
                <w:u w:val="none"/>
                <w:shd w:fill="auto" w:val="clear"/>
                <w:vertAlign w:val="baseline"/>
                <w:rtl w:val="0"/>
              </w:rPr>
              <w:t xml:space="preserve">Acuerdos Comerciales y la Comunidad Andina</w:t>
            </w:r>
          </w:p>
        </w:tc>
        <w:tc>
          <w:tcPr>
            <w:shd w:fill="d9d9d9" w:val="clear"/>
            <w:vAlign w:val="center"/>
          </w:tcPr>
          <w:p w:rsidR="00000000" w:rsidDel="00000000" w:rsidP="00000000" w:rsidRDefault="00000000" w:rsidRPr="00000000" w14:paraId="0000026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Garamond" w:cs="Garamond" w:eastAsia="Garamond" w:hAnsi="Garamond"/>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66">
            <w:pPr>
              <w:keepNext w:val="0"/>
              <w:keepLines w:val="0"/>
              <w:widowControl w:val="0"/>
              <w:pBdr>
                <w:top w:space="0" w:sz="0" w:val="nil"/>
                <w:left w:space="0" w:sz="0" w:val="nil"/>
                <w:bottom w:space="0" w:sz="0" w:val="nil"/>
                <w:right w:space="0" w:sz="0" w:val="nil"/>
                <w:between w:space="0" w:sz="0" w:val="nil"/>
              </w:pBdr>
              <w:shd w:fill="auto" w:val="clear"/>
              <w:spacing w:after="0" w:before="171" w:line="205" w:lineRule="auto"/>
              <w:ind w:left="65" w:right="64" w:firstLine="0"/>
              <w:jc w:val="center"/>
              <w:rPr>
                <w:rFonts w:ascii="Garamond" w:cs="Garamond" w:eastAsia="Garamond" w:hAnsi="Garamond"/>
                <w:b w:val="1"/>
                <w:bCs w:val="1"/>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1"/>
                <w:bCs w:val="1"/>
                <w:i w:val="0"/>
                <w:iCs w:val="0"/>
                <w:smallCaps w:val="0"/>
                <w:strike w:val="0"/>
                <w:color w:val="000000"/>
                <w:sz w:val="20"/>
                <w:szCs w:val="20"/>
                <w:u w:val="none"/>
                <w:shd w:fill="auto" w:val="clear"/>
                <w:vertAlign w:val="baseline"/>
                <w:rtl w:val="0"/>
              </w:rPr>
              <w:t xml:space="preserve">Vigente</w:t>
            </w:r>
          </w:p>
          <w:p w:rsidR="00000000" w:rsidDel="00000000" w:rsidP="00000000" w:rsidRDefault="00000000" w:rsidRPr="00000000" w14:paraId="00000267">
            <w:pPr>
              <w:keepNext w:val="0"/>
              <w:keepLines w:val="0"/>
              <w:widowControl w:val="0"/>
              <w:pBdr>
                <w:top w:space="0" w:sz="0" w:val="nil"/>
                <w:left w:space="0" w:sz="0" w:val="nil"/>
                <w:bottom w:space="0" w:sz="0" w:val="nil"/>
                <w:right w:space="0" w:sz="0" w:val="nil"/>
                <w:between w:space="0" w:sz="0" w:val="nil"/>
              </w:pBdr>
              <w:shd w:fill="auto" w:val="clear"/>
              <w:spacing w:after="0" w:before="0" w:line="205" w:lineRule="auto"/>
              <w:ind w:left="6" w:right="0" w:firstLine="0"/>
              <w:jc w:val="center"/>
              <w:rPr>
                <w:rFonts w:ascii="Garamond" w:cs="Garamond" w:eastAsia="Garamond" w:hAnsi="Garamond"/>
                <w:b w:val="1"/>
                <w:bCs w:val="1"/>
                <w:i w:val="0"/>
                <w:iCs w:val="0"/>
                <w:smallCaps w:val="0"/>
                <w:strike w:val="0"/>
                <w:color w:val="000000"/>
                <w:sz w:val="20"/>
                <w:szCs w:val="20"/>
                <w:u w:val="none"/>
                <w:shd w:fill="auto" w:val="clear"/>
                <w:vertAlign w:val="baseline"/>
              </w:rPr>
            </w:pPr>
            <w:r w:rsidDel="00000000" w:rsidR="00000000" w:rsidRPr="00000000">
              <w:rPr>
                <w:rtl w:val="0"/>
              </w:rPr>
            </w:r>
          </w:p>
        </w:tc>
        <w:tc>
          <w:tcPr>
            <w:shd w:fill="d9d9d9" w:val="clear"/>
            <w:vAlign w:val="center"/>
          </w:tcPr>
          <w:p w:rsidR="00000000" w:rsidDel="00000000" w:rsidP="00000000" w:rsidRDefault="00000000" w:rsidRPr="00000000" w14:paraId="00000268">
            <w:pPr>
              <w:keepNext w:val="0"/>
              <w:keepLines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center"/>
              <w:rPr>
                <w:rFonts w:ascii="Garamond" w:cs="Garamond" w:eastAsia="Garamond" w:hAnsi="Garamond"/>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69">
            <w:pPr>
              <w:keepNext w:val="0"/>
              <w:keepLines w:val="0"/>
              <w:widowControl w:val="0"/>
              <w:pBdr>
                <w:top w:space="0" w:sz="0" w:val="nil"/>
                <w:left w:space="0" w:sz="0" w:val="nil"/>
                <w:bottom w:space="0" w:sz="0" w:val="nil"/>
                <w:right w:space="0" w:sz="0" w:val="nil"/>
                <w:between w:space="0" w:sz="0" w:val="nil"/>
              </w:pBdr>
              <w:shd w:fill="auto" w:val="clear"/>
              <w:spacing w:after="0" w:before="0" w:line="235" w:lineRule="auto"/>
              <w:ind w:left="217" w:right="210" w:firstLine="45"/>
              <w:jc w:val="center"/>
              <w:rPr>
                <w:rFonts w:ascii="Garamond" w:cs="Garamond" w:eastAsia="Garamond" w:hAnsi="Garamond"/>
                <w:b w:val="1"/>
                <w:bCs w:val="1"/>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1"/>
                <w:bCs w:val="1"/>
                <w:i w:val="0"/>
                <w:iCs w:val="0"/>
                <w:smallCaps w:val="0"/>
                <w:strike w:val="0"/>
                <w:color w:val="000000"/>
                <w:sz w:val="20"/>
                <w:szCs w:val="20"/>
                <w:u w:val="none"/>
                <w:shd w:fill="auto" w:val="clear"/>
                <w:vertAlign w:val="baseline"/>
                <w:rtl w:val="0"/>
              </w:rPr>
              <w:t xml:space="preserve">Entidad Estatal Cubierta: SI/NO</w:t>
            </w:r>
          </w:p>
        </w:tc>
        <w:tc>
          <w:tcPr>
            <w:shd w:fill="d9d9d9" w:val="clear"/>
            <w:vAlign w:val="center"/>
          </w:tcPr>
          <w:p w:rsidR="00000000" w:rsidDel="00000000" w:rsidP="00000000" w:rsidRDefault="00000000" w:rsidRPr="00000000" w14:paraId="0000026A">
            <w:pPr>
              <w:keepNext w:val="0"/>
              <w:keepLines w:val="0"/>
              <w:widowControl w:val="0"/>
              <w:pBdr>
                <w:top w:space="0" w:sz="0" w:val="nil"/>
                <w:left w:space="0" w:sz="0" w:val="nil"/>
                <w:bottom w:space="0" w:sz="0" w:val="nil"/>
                <w:right w:space="0" w:sz="0" w:val="nil"/>
                <w:between w:space="0" w:sz="0" w:val="nil"/>
              </w:pBdr>
              <w:shd w:fill="auto" w:val="clear"/>
              <w:spacing w:after="0" w:before="101" w:line="235" w:lineRule="auto"/>
              <w:ind w:left="77" w:right="73" w:firstLine="0"/>
              <w:jc w:val="center"/>
              <w:rPr>
                <w:rFonts w:ascii="Garamond" w:cs="Garamond" w:eastAsia="Garamond" w:hAnsi="Garamond"/>
                <w:b w:val="1"/>
                <w:bCs w:val="1"/>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1"/>
                <w:bCs w:val="1"/>
                <w:i w:val="0"/>
                <w:iCs w:val="0"/>
                <w:smallCaps w:val="0"/>
                <w:strike w:val="0"/>
                <w:color w:val="000000"/>
                <w:sz w:val="20"/>
                <w:szCs w:val="20"/>
                <w:u w:val="none"/>
                <w:shd w:fill="auto" w:val="clear"/>
                <w:vertAlign w:val="baseline"/>
                <w:rtl w:val="0"/>
              </w:rPr>
              <w:t xml:space="preserve">Valor del proceso de contratación superior al umbral del Acuerdo comercial: SI/NO</w:t>
            </w:r>
          </w:p>
        </w:tc>
        <w:tc>
          <w:tcPr>
            <w:shd w:fill="d9d9d9" w:val="clear"/>
            <w:vAlign w:val="center"/>
          </w:tcPr>
          <w:p w:rsidR="00000000" w:rsidDel="00000000" w:rsidP="00000000" w:rsidRDefault="00000000" w:rsidRPr="00000000" w14:paraId="0000026B">
            <w:pPr>
              <w:keepNext w:val="0"/>
              <w:keepLines w:val="0"/>
              <w:widowControl w:val="0"/>
              <w:pBdr>
                <w:top w:space="0" w:sz="0" w:val="nil"/>
                <w:left w:space="0" w:sz="0" w:val="nil"/>
                <w:bottom w:space="0" w:sz="0" w:val="nil"/>
                <w:right w:space="0" w:sz="0" w:val="nil"/>
                <w:between w:space="0" w:sz="0" w:val="nil"/>
              </w:pBdr>
              <w:shd w:fill="auto" w:val="clear"/>
              <w:spacing w:after="0" w:before="101" w:line="235" w:lineRule="auto"/>
              <w:ind w:left="189" w:right="189" w:firstLine="1.999999999999993"/>
              <w:jc w:val="center"/>
              <w:rPr>
                <w:rFonts w:ascii="Garamond" w:cs="Garamond" w:eastAsia="Garamond" w:hAnsi="Garamond"/>
                <w:b w:val="1"/>
                <w:bCs w:val="1"/>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1"/>
                <w:bCs w:val="1"/>
                <w:i w:val="0"/>
                <w:iCs w:val="0"/>
                <w:smallCaps w:val="0"/>
                <w:strike w:val="0"/>
                <w:color w:val="000000"/>
                <w:sz w:val="20"/>
                <w:szCs w:val="20"/>
                <w:u w:val="none"/>
                <w:shd w:fill="auto" w:val="clear"/>
                <w:vertAlign w:val="baseline"/>
                <w:rtl w:val="0"/>
              </w:rPr>
              <w:t xml:space="preserve">Excepción Aplicable al Proceso de Contratación: SI/NO</w:t>
            </w:r>
          </w:p>
        </w:tc>
        <w:tc>
          <w:tcPr>
            <w:gridSpan w:val="2"/>
            <w:shd w:fill="d9d9d9" w:val="clear"/>
            <w:vAlign w:val="center"/>
          </w:tcPr>
          <w:p w:rsidR="00000000" w:rsidDel="00000000" w:rsidP="00000000" w:rsidRDefault="00000000" w:rsidRPr="00000000" w14:paraId="0000026C">
            <w:pPr>
              <w:keepNext w:val="0"/>
              <w:keepLines w:val="0"/>
              <w:widowControl w:val="0"/>
              <w:pBdr>
                <w:top w:space="0" w:sz="0" w:val="nil"/>
                <w:left w:space="0" w:sz="0" w:val="nil"/>
                <w:bottom w:space="0" w:sz="0" w:val="nil"/>
                <w:right w:space="0" w:sz="0" w:val="nil"/>
                <w:between w:space="0" w:sz="0" w:val="nil"/>
              </w:pBdr>
              <w:shd w:fill="auto" w:val="clear"/>
              <w:spacing w:after="0" w:before="1" w:line="235" w:lineRule="auto"/>
              <w:ind w:left="210" w:right="212" w:firstLine="3.000000000000007"/>
              <w:jc w:val="center"/>
              <w:rPr>
                <w:rFonts w:ascii="Garamond" w:cs="Garamond" w:eastAsia="Garamond" w:hAnsi="Garamond"/>
                <w:b w:val="1"/>
                <w:bCs w:val="1"/>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1"/>
                <w:bCs w:val="1"/>
                <w:i w:val="0"/>
                <w:iCs w:val="0"/>
                <w:smallCaps w:val="0"/>
                <w:strike w:val="0"/>
                <w:color w:val="000000"/>
                <w:sz w:val="20"/>
                <w:szCs w:val="20"/>
                <w:u w:val="none"/>
                <w:shd w:fill="auto" w:val="clear"/>
                <w:vertAlign w:val="baseline"/>
                <w:rtl w:val="0"/>
              </w:rPr>
              <w:t xml:space="preserve">Proceso de Contratación cubierto por el Acuerdo</w:t>
            </w:r>
          </w:p>
          <w:p w:rsidR="00000000" w:rsidDel="00000000" w:rsidP="00000000" w:rsidRDefault="00000000" w:rsidRPr="00000000" w14:paraId="0000026D">
            <w:pPr>
              <w:keepNext w:val="0"/>
              <w:keepLines w:val="0"/>
              <w:widowControl w:val="0"/>
              <w:pBdr>
                <w:top w:space="0" w:sz="0" w:val="nil"/>
                <w:left w:space="0" w:sz="0" w:val="nil"/>
                <w:bottom w:space="0" w:sz="0" w:val="nil"/>
                <w:right w:space="0" w:sz="0" w:val="nil"/>
                <w:between w:space="0" w:sz="0" w:val="nil"/>
              </w:pBdr>
              <w:shd w:fill="auto" w:val="clear"/>
              <w:spacing w:after="0" w:before="0" w:line="232" w:lineRule="auto"/>
              <w:ind w:left="349" w:right="349" w:firstLine="0"/>
              <w:jc w:val="center"/>
              <w:rPr>
                <w:rFonts w:ascii="Garamond" w:cs="Garamond" w:eastAsia="Garamond" w:hAnsi="Garamond"/>
                <w:b w:val="1"/>
                <w:bCs w:val="1"/>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1"/>
                <w:bCs w:val="1"/>
                <w:i w:val="0"/>
                <w:iCs w:val="0"/>
                <w:smallCaps w:val="0"/>
                <w:strike w:val="0"/>
                <w:color w:val="000000"/>
                <w:sz w:val="20"/>
                <w:szCs w:val="20"/>
                <w:u w:val="none"/>
                <w:shd w:fill="auto" w:val="clear"/>
                <w:vertAlign w:val="baseline"/>
                <w:rtl w:val="0"/>
              </w:rPr>
              <w:t xml:space="preserve">Comercial: SI/NO</w:t>
            </w:r>
          </w:p>
        </w:tc>
      </w:tr>
      <w:tr>
        <w:trPr>
          <w:cantSplit w:val="0"/>
          <w:trHeight w:val="364" w:hRule="atLeast"/>
          <w:tblHeader w:val="0"/>
        </w:trPr>
        <w:tc>
          <w:tcPr>
            <w:vMerge w:val="restart"/>
            <w:vAlign w:val="center"/>
          </w:tcPr>
          <w:p w:rsidR="00000000" w:rsidDel="00000000" w:rsidP="00000000" w:rsidRDefault="00000000" w:rsidRPr="00000000" w14:paraId="0000026F">
            <w:pPr>
              <w:keepNext w:val="0"/>
              <w:keepLines w:val="0"/>
              <w:widowControl w:val="0"/>
              <w:pBdr>
                <w:top w:space="0" w:sz="0" w:val="nil"/>
                <w:left w:space="0" w:sz="0" w:val="nil"/>
                <w:bottom w:space="0" w:sz="0" w:val="nil"/>
                <w:right w:space="0" w:sz="0" w:val="nil"/>
                <w:between w:space="0" w:sz="0" w:val="nil"/>
              </w:pBdr>
              <w:shd w:fill="auto" w:val="clear"/>
              <w:spacing w:after="0" w:before="0" w:line="232" w:lineRule="auto"/>
              <w:ind w:left="57" w:right="142" w:firstLine="0"/>
              <w:jc w:val="center"/>
              <w:rPr>
                <w:rFonts w:ascii="Garamond" w:cs="Garamond" w:eastAsia="Garamond" w:hAnsi="Garamond"/>
                <w:b w:val="1"/>
                <w:bCs w:val="1"/>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1"/>
                <w:bCs w:val="1"/>
                <w:i w:val="0"/>
                <w:iCs w:val="0"/>
                <w:smallCaps w:val="0"/>
                <w:strike w:val="0"/>
                <w:color w:val="000000"/>
                <w:sz w:val="20"/>
                <w:szCs w:val="20"/>
                <w:u w:val="none"/>
                <w:shd w:fill="auto" w:val="clear"/>
                <w:vertAlign w:val="baseline"/>
                <w:rtl w:val="0"/>
              </w:rPr>
              <w:t xml:space="preserve">Alianza Pacifico</w:t>
            </w:r>
          </w:p>
        </w:tc>
        <w:tc>
          <w:tcPr>
            <w:vAlign w:val="center"/>
          </w:tcPr>
          <w:p w:rsidR="00000000" w:rsidDel="00000000" w:rsidP="00000000" w:rsidRDefault="00000000" w:rsidRPr="00000000" w14:paraId="00000270">
            <w:pPr>
              <w:keepNext w:val="0"/>
              <w:keepLines w:val="0"/>
              <w:widowControl w:val="0"/>
              <w:pBdr>
                <w:top w:space="0" w:sz="0" w:val="nil"/>
                <w:left w:space="0" w:sz="0" w:val="nil"/>
                <w:bottom w:space="0" w:sz="0" w:val="nil"/>
                <w:right w:space="0" w:sz="0" w:val="nil"/>
                <w:between w:space="0" w:sz="0" w:val="nil"/>
              </w:pBdr>
              <w:shd w:fill="auto" w:val="clear"/>
              <w:spacing w:after="0" w:before="0" w:line="193" w:lineRule="auto"/>
              <w:ind w:left="51" w:right="0" w:firstLine="0"/>
              <w:jc w:val="center"/>
              <w:rPr>
                <w:rFonts w:ascii="Garamond" w:cs="Garamond" w:eastAsia="Garamond" w:hAnsi="Garamond"/>
                <w:b w:val="1"/>
                <w:bCs w:val="1"/>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1"/>
                <w:bCs w:val="1"/>
                <w:i w:val="0"/>
                <w:iCs w:val="0"/>
                <w:smallCaps w:val="0"/>
                <w:strike w:val="0"/>
                <w:color w:val="000000"/>
                <w:sz w:val="20"/>
                <w:szCs w:val="20"/>
                <w:u w:val="none"/>
                <w:shd w:fill="auto" w:val="clear"/>
                <w:vertAlign w:val="baseline"/>
                <w:rtl w:val="0"/>
              </w:rPr>
              <w:t xml:space="preserve">Chile</w:t>
            </w:r>
          </w:p>
        </w:tc>
        <w:tc>
          <w:tcPr>
            <w:vAlign w:val="center"/>
          </w:tcPr>
          <w:p w:rsidR="00000000" w:rsidDel="00000000" w:rsidP="00000000" w:rsidRDefault="00000000" w:rsidRPr="00000000" w14:paraId="00000271">
            <w:pPr>
              <w:keepNext w:val="0"/>
              <w:keepLines w:val="0"/>
              <w:widowControl w:val="0"/>
              <w:pBdr>
                <w:top w:space="0" w:sz="0" w:val="nil"/>
                <w:left w:space="0" w:sz="0" w:val="nil"/>
                <w:bottom w:space="0" w:sz="0" w:val="nil"/>
                <w:right w:space="0" w:sz="0" w:val="nil"/>
                <w:between w:space="0" w:sz="0" w:val="nil"/>
              </w:pBdr>
              <w:shd w:fill="auto" w:val="clear"/>
              <w:spacing w:after="0" w:before="67" w:line="240" w:lineRule="auto"/>
              <w:ind w:left="322" w:right="317"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SI</w:t>
            </w:r>
          </w:p>
        </w:tc>
        <w:tc>
          <w:tcPr>
            <w:vAlign w:val="center"/>
          </w:tcPr>
          <w:p w:rsidR="00000000" w:rsidDel="00000000" w:rsidP="00000000" w:rsidRDefault="00000000" w:rsidRPr="00000000" w14:paraId="00000272">
            <w:pPr>
              <w:keepNext w:val="0"/>
              <w:keepLines w:val="0"/>
              <w:widowControl w:val="0"/>
              <w:pBdr>
                <w:top w:space="0" w:sz="0" w:val="nil"/>
                <w:left w:space="0" w:sz="0" w:val="nil"/>
                <w:bottom w:space="0" w:sz="0" w:val="nil"/>
                <w:right w:space="0" w:sz="0" w:val="nil"/>
                <w:between w:space="0" w:sz="0" w:val="nil"/>
              </w:pBdr>
              <w:shd w:fill="auto" w:val="clear"/>
              <w:spacing w:after="0" w:before="67" w:line="240" w:lineRule="auto"/>
              <w:ind w:left="410" w:right="401"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NO</w:t>
            </w:r>
          </w:p>
        </w:tc>
        <w:tc>
          <w:tcPr>
            <w:vAlign w:val="center"/>
          </w:tcPr>
          <w:p w:rsidR="00000000" w:rsidDel="00000000" w:rsidP="00000000" w:rsidRDefault="00000000" w:rsidRPr="00000000" w14:paraId="00000273">
            <w:pPr>
              <w:keepNext w:val="0"/>
              <w:keepLines w:val="0"/>
              <w:widowControl w:val="0"/>
              <w:pBdr>
                <w:top w:space="0" w:sz="0" w:val="nil"/>
                <w:left w:space="0" w:sz="0" w:val="nil"/>
                <w:bottom w:space="0" w:sz="0" w:val="nil"/>
                <w:right w:space="0" w:sz="0" w:val="nil"/>
                <w:between w:space="0" w:sz="0" w:val="nil"/>
              </w:pBdr>
              <w:shd w:fill="auto" w:val="clear"/>
              <w:spacing w:after="0" w:before="67" w:line="240" w:lineRule="auto"/>
              <w:ind w:left="0" w:right="1"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SI</w:t>
            </w:r>
          </w:p>
        </w:tc>
        <w:tc>
          <w:tcPr>
            <w:vAlign w:val="center"/>
          </w:tcPr>
          <w:p w:rsidR="00000000" w:rsidDel="00000000" w:rsidP="00000000" w:rsidRDefault="00000000" w:rsidRPr="00000000" w14:paraId="00000274">
            <w:pPr>
              <w:keepNext w:val="0"/>
              <w:keepLines w:val="0"/>
              <w:widowControl w:val="0"/>
              <w:pBdr>
                <w:top w:space="0" w:sz="0" w:val="nil"/>
                <w:left w:space="0" w:sz="0" w:val="nil"/>
                <w:bottom w:space="0" w:sz="0" w:val="nil"/>
                <w:right w:space="0" w:sz="0" w:val="nil"/>
                <w:between w:space="0" w:sz="0" w:val="nil"/>
              </w:pBdr>
              <w:shd w:fill="auto" w:val="clear"/>
              <w:spacing w:after="0" w:before="67" w:line="240" w:lineRule="auto"/>
              <w:ind w:left="141" w:right="0"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NO</w:t>
            </w:r>
          </w:p>
        </w:tc>
        <w:tc>
          <w:tcPr>
            <w:gridSpan w:val="2"/>
            <w:vAlign w:val="center"/>
          </w:tcPr>
          <w:p w:rsidR="00000000" w:rsidDel="00000000" w:rsidP="00000000" w:rsidRDefault="00000000" w:rsidRPr="00000000" w14:paraId="00000275">
            <w:pPr>
              <w:keepNext w:val="0"/>
              <w:keepLines w:val="0"/>
              <w:widowControl w:val="0"/>
              <w:pBdr>
                <w:top w:space="0" w:sz="0" w:val="nil"/>
                <w:left w:space="0" w:sz="0" w:val="nil"/>
                <w:bottom w:space="0" w:sz="0" w:val="nil"/>
                <w:right w:space="0" w:sz="0" w:val="nil"/>
                <w:between w:space="0" w:sz="0" w:val="nil"/>
              </w:pBdr>
              <w:shd w:fill="auto" w:val="clear"/>
              <w:spacing w:after="0" w:before="67" w:line="240" w:lineRule="auto"/>
              <w:ind w:left="0" w:right="0"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NO</w:t>
            </w:r>
          </w:p>
        </w:tc>
      </w:tr>
      <w:tr>
        <w:trPr>
          <w:cantSplit w:val="0"/>
          <w:trHeight w:val="210" w:hRule="atLeast"/>
          <w:tblHeader w:val="0"/>
        </w:trPr>
        <w:tc>
          <w:tcPr>
            <w:vMerge w:val="continue"/>
            <w:vAlign w:val="center"/>
          </w:tcPr>
          <w:p w:rsidR="00000000" w:rsidDel="00000000" w:rsidP="00000000" w:rsidRDefault="00000000" w:rsidRPr="00000000" w14:paraId="000002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tl w:val="0"/>
              </w:rPr>
            </w:r>
          </w:p>
        </w:tc>
        <w:tc>
          <w:tcPr>
            <w:vAlign w:val="center"/>
          </w:tcPr>
          <w:p w:rsidR="00000000" w:rsidDel="00000000" w:rsidP="00000000" w:rsidRDefault="00000000" w:rsidRPr="00000000" w14:paraId="00000278">
            <w:pPr>
              <w:keepNext w:val="0"/>
              <w:keepLines w:val="0"/>
              <w:widowControl w:val="0"/>
              <w:pBdr>
                <w:top w:space="0" w:sz="0" w:val="nil"/>
                <w:left w:space="0" w:sz="0" w:val="nil"/>
                <w:bottom w:space="0" w:sz="0" w:val="nil"/>
                <w:right w:space="0" w:sz="0" w:val="nil"/>
                <w:between w:space="0" w:sz="0" w:val="nil"/>
              </w:pBdr>
              <w:shd w:fill="auto" w:val="clear"/>
              <w:spacing w:after="0" w:before="0" w:line="191" w:lineRule="auto"/>
              <w:ind w:left="51" w:right="0" w:firstLine="0"/>
              <w:jc w:val="center"/>
              <w:rPr>
                <w:rFonts w:ascii="Garamond" w:cs="Garamond" w:eastAsia="Garamond" w:hAnsi="Garamond"/>
                <w:b w:val="1"/>
                <w:bCs w:val="1"/>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1"/>
                <w:bCs w:val="1"/>
                <w:i w:val="0"/>
                <w:iCs w:val="0"/>
                <w:smallCaps w:val="0"/>
                <w:strike w:val="0"/>
                <w:color w:val="000000"/>
                <w:sz w:val="20"/>
                <w:szCs w:val="20"/>
                <w:u w:val="none"/>
                <w:shd w:fill="auto" w:val="clear"/>
                <w:vertAlign w:val="baseline"/>
                <w:rtl w:val="0"/>
              </w:rPr>
              <w:t xml:space="preserve">México</w:t>
            </w:r>
          </w:p>
        </w:tc>
        <w:tc>
          <w:tcPr>
            <w:vAlign w:val="center"/>
          </w:tcPr>
          <w:p w:rsidR="00000000" w:rsidDel="00000000" w:rsidP="00000000" w:rsidRDefault="00000000" w:rsidRPr="00000000" w14:paraId="00000279">
            <w:pPr>
              <w:keepNext w:val="0"/>
              <w:keepLines w:val="0"/>
              <w:widowControl w:val="0"/>
              <w:pBdr>
                <w:top w:space="0" w:sz="0" w:val="nil"/>
                <w:left w:space="0" w:sz="0" w:val="nil"/>
                <w:bottom w:space="0" w:sz="0" w:val="nil"/>
                <w:right w:space="0" w:sz="0" w:val="nil"/>
                <w:between w:space="0" w:sz="0" w:val="nil"/>
              </w:pBdr>
              <w:shd w:fill="auto" w:val="clear"/>
              <w:spacing w:after="0" w:before="0" w:line="191" w:lineRule="auto"/>
              <w:ind w:left="322" w:right="317"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SI</w:t>
            </w:r>
          </w:p>
        </w:tc>
        <w:tc>
          <w:tcPr>
            <w:vAlign w:val="center"/>
          </w:tcPr>
          <w:p w:rsidR="00000000" w:rsidDel="00000000" w:rsidP="00000000" w:rsidRDefault="00000000" w:rsidRPr="00000000" w14:paraId="0000027A">
            <w:pPr>
              <w:keepNext w:val="0"/>
              <w:keepLines w:val="0"/>
              <w:widowControl w:val="0"/>
              <w:pBdr>
                <w:top w:space="0" w:sz="0" w:val="nil"/>
                <w:left w:space="0" w:sz="0" w:val="nil"/>
                <w:bottom w:space="0" w:sz="0" w:val="nil"/>
                <w:right w:space="0" w:sz="0" w:val="nil"/>
                <w:between w:space="0" w:sz="0" w:val="nil"/>
              </w:pBdr>
              <w:shd w:fill="auto" w:val="clear"/>
              <w:spacing w:after="0" w:before="0" w:line="191" w:lineRule="auto"/>
              <w:ind w:left="410" w:right="401"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NO</w:t>
            </w:r>
          </w:p>
        </w:tc>
        <w:tc>
          <w:tcPr>
            <w:vAlign w:val="center"/>
          </w:tcPr>
          <w:p w:rsidR="00000000" w:rsidDel="00000000" w:rsidP="00000000" w:rsidRDefault="00000000" w:rsidRPr="00000000" w14:paraId="0000027B">
            <w:pPr>
              <w:keepNext w:val="0"/>
              <w:keepLines w:val="0"/>
              <w:widowControl w:val="0"/>
              <w:pBdr>
                <w:top w:space="0" w:sz="0" w:val="nil"/>
                <w:left w:space="0" w:sz="0" w:val="nil"/>
                <w:bottom w:space="0" w:sz="0" w:val="nil"/>
                <w:right w:space="0" w:sz="0" w:val="nil"/>
                <w:between w:space="0" w:sz="0" w:val="nil"/>
              </w:pBdr>
              <w:shd w:fill="auto" w:val="clear"/>
              <w:spacing w:after="0" w:before="0" w:line="191" w:lineRule="auto"/>
              <w:ind w:left="0" w:right="1"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SI</w:t>
            </w:r>
          </w:p>
        </w:tc>
        <w:tc>
          <w:tcPr>
            <w:vAlign w:val="center"/>
          </w:tcPr>
          <w:p w:rsidR="00000000" w:rsidDel="00000000" w:rsidP="00000000" w:rsidRDefault="00000000" w:rsidRPr="00000000" w14:paraId="0000027C">
            <w:pPr>
              <w:keepNext w:val="0"/>
              <w:keepLines w:val="0"/>
              <w:widowControl w:val="0"/>
              <w:pBdr>
                <w:top w:space="0" w:sz="0" w:val="nil"/>
                <w:left w:space="0" w:sz="0" w:val="nil"/>
                <w:bottom w:space="0" w:sz="0" w:val="nil"/>
                <w:right w:space="0" w:sz="0" w:val="nil"/>
                <w:between w:space="0" w:sz="0" w:val="nil"/>
              </w:pBdr>
              <w:shd w:fill="auto" w:val="clear"/>
              <w:spacing w:after="0" w:before="0" w:line="191" w:lineRule="auto"/>
              <w:ind w:left="141" w:right="0"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NO</w:t>
            </w:r>
          </w:p>
        </w:tc>
        <w:tc>
          <w:tcPr>
            <w:gridSpan w:val="2"/>
            <w:vAlign w:val="center"/>
          </w:tcPr>
          <w:p w:rsidR="00000000" w:rsidDel="00000000" w:rsidP="00000000" w:rsidRDefault="00000000" w:rsidRPr="00000000" w14:paraId="0000027D">
            <w:pPr>
              <w:keepNext w:val="0"/>
              <w:keepLines w:val="0"/>
              <w:widowControl w:val="0"/>
              <w:pBdr>
                <w:top w:space="0" w:sz="0" w:val="nil"/>
                <w:left w:space="0" w:sz="0" w:val="nil"/>
                <w:bottom w:space="0" w:sz="0" w:val="nil"/>
                <w:right w:space="0" w:sz="0" w:val="nil"/>
                <w:between w:space="0" w:sz="0" w:val="nil"/>
              </w:pBdr>
              <w:shd w:fill="auto" w:val="clear"/>
              <w:spacing w:after="0" w:before="0" w:line="191" w:lineRule="auto"/>
              <w:ind w:left="0" w:right="0"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NO</w:t>
            </w:r>
          </w:p>
        </w:tc>
      </w:tr>
      <w:tr>
        <w:trPr>
          <w:cantSplit w:val="0"/>
          <w:trHeight w:val="210" w:hRule="atLeast"/>
          <w:tblHeader w:val="0"/>
        </w:trPr>
        <w:tc>
          <w:tcPr>
            <w:vMerge w:val="continue"/>
            <w:vAlign w:val="center"/>
          </w:tcPr>
          <w:p w:rsidR="00000000" w:rsidDel="00000000" w:rsidP="00000000" w:rsidRDefault="00000000" w:rsidRPr="00000000" w14:paraId="000002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tl w:val="0"/>
              </w:rPr>
            </w:r>
          </w:p>
        </w:tc>
        <w:tc>
          <w:tcPr>
            <w:vAlign w:val="center"/>
          </w:tcPr>
          <w:p w:rsidR="00000000" w:rsidDel="00000000" w:rsidP="00000000" w:rsidRDefault="00000000" w:rsidRPr="00000000" w14:paraId="00000280">
            <w:pPr>
              <w:keepNext w:val="0"/>
              <w:keepLines w:val="0"/>
              <w:widowControl w:val="0"/>
              <w:pBdr>
                <w:top w:space="0" w:sz="0" w:val="nil"/>
                <w:left w:space="0" w:sz="0" w:val="nil"/>
                <w:bottom w:space="0" w:sz="0" w:val="nil"/>
                <w:right w:space="0" w:sz="0" w:val="nil"/>
                <w:between w:space="0" w:sz="0" w:val="nil"/>
              </w:pBdr>
              <w:shd w:fill="auto" w:val="clear"/>
              <w:spacing w:after="0" w:before="0" w:line="191" w:lineRule="auto"/>
              <w:ind w:left="51" w:right="0" w:firstLine="0"/>
              <w:jc w:val="center"/>
              <w:rPr>
                <w:rFonts w:ascii="Garamond" w:cs="Garamond" w:eastAsia="Garamond" w:hAnsi="Garamond"/>
                <w:b w:val="1"/>
                <w:bCs w:val="1"/>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1"/>
                <w:bCs w:val="1"/>
                <w:i w:val="0"/>
                <w:iCs w:val="0"/>
                <w:smallCaps w:val="0"/>
                <w:strike w:val="0"/>
                <w:color w:val="000000"/>
                <w:sz w:val="20"/>
                <w:szCs w:val="20"/>
                <w:u w:val="none"/>
                <w:shd w:fill="auto" w:val="clear"/>
                <w:vertAlign w:val="baseline"/>
                <w:rtl w:val="0"/>
              </w:rPr>
              <w:t xml:space="preserve">Perú</w:t>
            </w:r>
          </w:p>
        </w:tc>
        <w:tc>
          <w:tcPr>
            <w:vAlign w:val="center"/>
          </w:tcPr>
          <w:p w:rsidR="00000000" w:rsidDel="00000000" w:rsidP="00000000" w:rsidRDefault="00000000" w:rsidRPr="00000000" w14:paraId="00000281">
            <w:pPr>
              <w:keepNext w:val="0"/>
              <w:keepLines w:val="0"/>
              <w:widowControl w:val="0"/>
              <w:pBdr>
                <w:top w:space="0" w:sz="0" w:val="nil"/>
                <w:left w:space="0" w:sz="0" w:val="nil"/>
                <w:bottom w:space="0" w:sz="0" w:val="nil"/>
                <w:right w:space="0" w:sz="0" w:val="nil"/>
                <w:between w:space="0" w:sz="0" w:val="nil"/>
              </w:pBdr>
              <w:shd w:fill="auto" w:val="clear"/>
              <w:spacing w:after="0" w:before="0" w:line="191" w:lineRule="auto"/>
              <w:ind w:left="322" w:right="317"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SI</w:t>
            </w:r>
          </w:p>
        </w:tc>
        <w:tc>
          <w:tcPr>
            <w:vAlign w:val="center"/>
          </w:tcPr>
          <w:p w:rsidR="00000000" w:rsidDel="00000000" w:rsidP="00000000" w:rsidRDefault="00000000" w:rsidRPr="00000000" w14:paraId="00000282">
            <w:pPr>
              <w:keepNext w:val="0"/>
              <w:keepLines w:val="0"/>
              <w:widowControl w:val="0"/>
              <w:pBdr>
                <w:top w:space="0" w:sz="0" w:val="nil"/>
                <w:left w:space="0" w:sz="0" w:val="nil"/>
                <w:bottom w:space="0" w:sz="0" w:val="nil"/>
                <w:right w:space="0" w:sz="0" w:val="nil"/>
                <w:between w:space="0" w:sz="0" w:val="nil"/>
              </w:pBdr>
              <w:shd w:fill="auto" w:val="clear"/>
              <w:spacing w:after="0" w:before="0" w:line="191" w:lineRule="auto"/>
              <w:ind w:left="410" w:right="401"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NO</w:t>
            </w:r>
          </w:p>
        </w:tc>
        <w:tc>
          <w:tcPr>
            <w:vAlign w:val="center"/>
          </w:tcPr>
          <w:p w:rsidR="00000000" w:rsidDel="00000000" w:rsidP="00000000" w:rsidRDefault="00000000" w:rsidRPr="00000000" w14:paraId="00000283">
            <w:pPr>
              <w:keepNext w:val="0"/>
              <w:keepLines w:val="0"/>
              <w:widowControl w:val="0"/>
              <w:pBdr>
                <w:top w:space="0" w:sz="0" w:val="nil"/>
                <w:left w:space="0" w:sz="0" w:val="nil"/>
                <w:bottom w:space="0" w:sz="0" w:val="nil"/>
                <w:right w:space="0" w:sz="0" w:val="nil"/>
                <w:between w:space="0" w:sz="0" w:val="nil"/>
              </w:pBdr>
              <w:shd w:fill="auto" w:val="clear"/>
              <w:spacing w:after="0" w:before="0" w:line="191" w:lineRule="auto"/>
              <w:ind w:left="0" w:right="1"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SI</w:t>
            </w:r>
          </w:p>
        </w:tc>
        <w:tc>
          <w:tcPr>
            <w:vAlign w:val="center"/>
          </w:tcPr>
          <w:p w:rsidR="00000000" w:rsidDel="00000000" w:rsidP="00000000" w:rsidRDefault="00000000" w:rsidRPr="00000000" w14:paraId="00000284">
            <w:pPr>
              <w:keepNext w:val="0"/>
              <w:keepLines w:val="0"/>
              <w:widowControl w:val="0"/>
              <w:pBdr>
                <w:top w:space="0" w:sz="0" w:val="nil"/>
                <w:left w:space="0" w:sz="0" w:val="nil"/>
                <w:bottom w:space="0" w:sz="0" w:val="nil"/>
                <w:right w:space="0" w:sz="0" w:val="nil"/>
                <w:between w:space="0" w:sz="0" w:val="nil"/>
              </w:pBdr>
              <w:shd w:fill="auto" w:val="clear"/>
              <w:spacing w:after="0" w:before="0" w:line="191" w:lineRule="auto"/>
              <w:ind w:left="141" w:right="0"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NO</w:t>
            </w:r>
          </w:p>
        </w:tc>
        <w:tc>
          <w:tcPr>
            <w:gridSpan w:val="2"/>
            <w:vAlign w:val="center"/>
          </w:tcPr>
          <w:p w:rsidR="00000000" w:rsidDel="00000000" w:rsidP="00000000" w:rsidRDefault="00000000" w:rsidRPr="00000000" w14:paraId="00000285">
            <w:pPr>
              <w:keepNext w:val="0"/>
              <w:keepLines w:val="0"/>
              <w:widowControl w:val="0"/>
              <w:pBdr>
                <w:top w:space="0" w:sz="0" w:val="nil"/>
                <w:left w:space="0" w:sz="0" w:val="nil"/>
                <w:bottom w:space="0" w:sz="0" w:val="nil"/>
                <w:right w:space="0" w:sz="0" w:val="nil"/>
                <w:between w:space="0" w:sz="0" w:val="nil"/>
              </w:pBdr>
              <w:shd w:fill="auto" w:val="clear"/>
              <w:spacing w:after="0" w:before="0" w:line="191" w:lineRule="auto"/>
              <w:ind w:left="0" w:right="0"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NO</w:t>
            </w:r>
          </w:p>
        </w:tc>
      </w:tr>
      <w:tr>
        <w:trPr>
          <w:cantSplit w:val="0"/>
          <w:trHeight w:val="210" w:hRule="atLeast"/>
          <w:tblHeader w:val="0"/>
        </w:trPr>
        <w:tc>
          <w:tcPr>
            <w:vAlign w:val="center"/>
          </w:tcPr>
          <w:p w:rsidR="00000000" w:rsidDel="00000000" w:rsidP="00000000" w:rsidRDefault="00000000" w:rsidRPr="00000000" w14:paraId="00000287">
            <w:pPr>
              <w:keepNext w:val="0"/>
              <w:keepLines w:val="0"/>
              <w:widowControl w:val="0"/>
              <w:pBdr>
                <w:top w:space="0" w:sz="0" w:val="nil"/>
                <w:left w:space="0" w:sz="0" w:val="nil"/>
                <w:bottom w:space="0" w:sz="0" w:val="nil"/>
                <w:right w:space="0" w:sz="0" w:val="nil"/>
                <w:between w:space="0" w:sz="0" w:val="nil"/>
              </w:pBdr>
              <w:shd w:fill="auto" w:val="clear"/>
              <w:spacing w:after="0" w:before="0" w:line="191" w:lineRule="auto"/>
              <w:ind w:left="57" w:right="0" w:firstLine="0"/>
              <w:jc w:val="center"/>
              <w:rPr>
                <w:rFonts w:ascii="Garamond" w:cs="Garamond" w:eastAsia="Garamond" w:hAnsi="Garamond"/>
                <w:b w:val="1"/>
                <w:bCs w:val="1"/>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1"/>
                <w:bCs w:val="1"/>
                <w:i w:val="0"/>
                <w:iCs w:val="0"/>
                <w:smallCaps w:val="0"/>
                <w:strike w:val="0"/>
                <w:color w:val="000000"/>
                <w:sz w:val="20"/>
                <w:szCs w:val="20"/>
                <w:u w:val="none"/>
                <w:shd w:fill="auto" w:val="clear"/>
                <w:vertAlign w:val="baseline"/>
                <w:rtl w:val="0"/>
              </w:rPr>
              <w:t xml:space="preserve">Canadá</w:t>
            </w:r>
          </w:p>
        </w:tc>
        <w:tc>
          <w:tcPr>
            <w:vAlign w:val="center"/>
          </w:tcPr>
          <w:p w:rsidR="00000000" w:rsidDel="00000000" w:rsidP="00000000" w:rsidRDefault="00000000" w:rsidRPr="00000000" w14:paraId="0000028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Garamond" w:cs="Garamond" w:eastAsia="Garamond" w:hAnsi="Garamond"/>
                <w:b w:val="1"/>
                <w:bCs w:val="1"/>
                <w:i w:val="0"/>
                <w:iCs w:val="0"/>
                <w:smallCaps w:val="0"/>
                <w:strike w:val="0"/>
                <w:color w:val="000000"/>
                <w:sz w:val="20"/>
                <w:szCs w:val="20"/>
                <w:u w:val="none"/>
                <w:shd w:fill="auto" w:val="clear"/>
                <w:vertAlign w:val="baseline"/>
              </w:rPr>
            </w:pPr>
            <w:r w:rsidDel="00000000" w:rsidR="00000000" w:rsidRPr="00000000">
              <w:rPr>
                <w:rtl w:val="0"/>
              </w:rPr>
            </w:r>
          </w:p>
        </w:tc>
        <w:tc>
          <w:tcPr>
            <w:vAlign w:val="center"/>
          </w:tcPr>
          <w:p w:rsidR="00000000" w:rsidDel="00000000" w:rsidP="00000000" w:rsidRDefault="00000000" w:rsidRPr="00000000" w14:paraId="00000289">
            <w:pPr>
              <w:keepNext w:val="0"/>
              <w:keepLines w:val="0"/>
              <w:widowControl w:val="0"/>
              <w:pBdr>
                <w:top w:space="0" w:sz="0" w:val="nil"/>
                <w:left w:space="0" w:sz="0" w:val="nil"/>
                <w:bottom w:space="0" w:sz="0" w:val="nil"/>
                <w:right w:space="0" w:sz="0" w:val="nil"/>
                <w:between w:space="0" w:sz="0" w:val="nil"/>
              </w:pBdr>
              <w:shd w:fill="auto" w:val="clear"/>
              <w:spacing w:after="0" w:before="0" w:line="191" w:lineRule="auto"/>
              <w:ind w:left="322" w:right="317"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SI</w:t>
            </w:r>
          </w:p>
        </w:tc>
        <w:tc>
          <w:tcPr>
            <w:vAlign w:val="center"/>
          </w:tcPr>
          <w:p w:rsidR="00000000" w:rsidDel="00000000" w:rsidP="00000000" w:rsidRDefault="00000000" w:rsidRPr="00000000" w14:paraId="0000028A">
            <w:pPr>
              <w:keepNext w:val="0"/>
              <w:keepLines w:val="0"/>
              <w:widowControl w:val="0"/>
              <w:pBdr>
                <w:top w:space="0" w:sz="0" w:val="nil"/>
                <w:left w:space="0" w:sz="0" w:val="nil"/>
                <w:bottom w:space="0" w:sz="0" w:val="nil"/>
                <w:right w:space="0" w:sz="0" w:val="nil"/>
                <w:between w:space="0" w:sz="0" w:val="nil"/>
              </w:pBdr>
              <w:shd w:fill="auto" w:val="clear"/>
              <w:spacing w:after="0" w:before="0" w:line="191" w:lineRule="auto"/>
              <w:ind w:left="410" w:right="401"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NO</w:t>
            </w:r>
          </w:p>
        </w:tc>
        <w:tc>
          <w:tcPr>
            <w:vAlign w:val="center"/>
          </w:tcPr>
          <w:p w:rsidR="00000000" w:rsidDel="00000000" w:rsidP="00000000" w:rsidRDefault="00000000" w:rsidRPr="00000000" w14:paraId="0000028B">
            <w:pPr>
              <w:keepNext w:val="0"/>
              <w:keepLines w:val="0"/>
              <w:widowControl w:val="0"/>
              <w:pBdr>
                <w:top w:space="0" w:sz="0" w:val="nil"/>
                <w:left w:space="0" w:sz="0" w:val="nil"/>
                <w:bottom w:space="0" w:sz="0" w:val="nil"/>
                <w:right w:space="0" w:sz="0" w:val="nil"/>
                <w:between w:space="0" w:sz="0" w:val="nil"/>
              </w:pBdr>
              <w:shd w:fill="auto" w:val="clear"/>
              <w:spacing w:after="0" w:before="0" w:line="191" w:lineRule="auto"/>
              <w:ind w:left="0" w:right="1"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SI</w:t>
            </w:r>
          </w:p>
        </w:tc>
        <w:tc>
          <w:tcPr>
            <w:vAlign w:val="center"/>
          </w:tcPr>
          <w:p w:rsidR="00000000" w:rsidDel="00000000" w:rsidP="00000000" w:rsidRDefault="00000000" w:rsidRPr="00000000" w14:paraId="0000028C">
            <w:pPr>
              <w:keepNext w:val="0"/>
              <w:keepLines w:val="0"/>
              <w:widowControl w:val="0"/>
              <w:pBdr>
                <w:top w:space="0" w:sz="0" w:val="nil"/>
                <w:left w:space="0" w:sz="0" w:val="nil"/>
                <w:bottom w:space="0" w:sz="0" w:val="nil"/>
                <w:right w:space="0" w:sz="0" w:val="nil"/>
                <w:between w:space="0" w:sz="0" w:val="nil"/>
              </w:pBdr>
              <w:shd w:fill="auto" w:val="clear"/>
              <w:spacing w:after="0" w:before="0" w:line="191" w:lineRule="auto"/>
              <w:ind w:left="141" w:right="0"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NO</w:t>
            </w:r>
          </w:p>
        </w:tc>
        <w:tc>
          <w:tcPr>
            <w:gridSpan w:val="2"/>
            <w:vAlign w:val="center"/>
          </w:tcPr>
          <w:p w:rsidR="00000000" w:rsidDel="00000000" w:rsidP="00000000" w:rsidRDefault="00000000" w:rsidRPr="00000000" w14:paraId="0000028D">
            <w:pPr>
              <w:keepNext w:val="0"/>
              <w:keepLines w:val="0"/>
              <w:widowControl w:val="0"/>
              <w:pBdr>
                <w:top w:space="0" w:sz="0" w:val="nil"/>
                <w:left w:space="0" w:sz="0" w:val="nil"/>
                <w:bottom w:space="0" w:sz="0" w:val="nil"/>
                <w:right w:space="0" w:sz="0" w:val="nil"/>
                <w:between w:space="0" w:sz="0" w:val="nil"/>
              </w:pBdr>
              <w:shd w:fill="auto" w:val="clear"/>
              <w:spacing w:after="0" w:before="0" w:line="191" w:lineRule="auto"/>
              <w:ind w:left="0" w:right="0"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NO</w:t>
            </w:r>
          </w:p>
        </w:tc>
      </w:tr>
      <w:tr>
        <w:trPr>
          <w:cantSplit w:val="0"/>
          <w:trHeight w:val="203" w:hRule="atLeast"/>
          <w:tblHeader w:val="0"/>
        </w:trPr>
        <w:tc>
          <w:tcPr>
            <w:vAlign w:val="center"/>
          </w:tcPr>
          <w:p w:rsidR="00000000" w:rsidDel="00000000" w:rsidP="00000000" w:rsidRDefault="00000000" w:rsidRPr="00000000" w14:paraId="0000028F">
            <w:pPr>
              <w:keepNext w:val="0"/>
              <w:keepLines w:val="0"/>
              <w:widowControl w:val="0"/>
              <w:pBdr>
                <w:top w:space="0" w:sz="0" w:val="nil"/>
                <w:left w:space="0" w:sz="0" w:val="nil"/>
                <w:bottom w:space="0" w:sz="0" w:val="nil"/>
                <w:right w:space="0" w:sz="0" w:val="nil"/>
                <w:between w:space="0" w:sz="0" w:val="nil"/>
              </w:pBdr>
              <w:shd w:fill="auto" w:val="clear"/>
              <w:spacing w:after="0" w:before="0" w:line="184" w:lineRule="auto"/>
              <w:ind w:left="57" w:right="0" w:firstLine="0"/>
              <w:jc w:val="center"/>
              <w:rPr>
                <w:rFonts w:ascii="Garamond" w:cs="Garamond" w:eastAsia="Garamond" w:hAnsi="Garamond"/>
                <w:b w:val="1"/>
                <w:bCs w:val="1"/>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1"/>
                <w:bCs w:val="1"/>
                <w:i w:val="0"/>
                <w:iCs w:val="0"/>
                <w:smallCaps w:val="0"/>
                <w:strike w:val="0"/>
                <w:color w:val="000000"/>
                <w:sz w:val="20"/>
                <w:szCs w:val="20"/>
                <w:u w:val="none"/>
                <w:shd w:fill="auto" w:val="clear"/>
                <w:vertAlign w:val="baseline"/>
                <w:rtl w:val="0"/>
              </w:rPr>
              <w:t xml:space="preserve">Chile</w:t>
            </w:r>
          </w:p>
        </w:tc>
        <w:tc>
          <w:tcPr>
            <w:vAlign w:val="center"/>
          </w:tcPr>
          <w:p w:rsidR="00000000" w:rsidDel="00000000" w:rsidP="00000000" w:rsidRDefault="00000000" w:rsidRPr="00000000" w14:paraId="0000029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Garamond" w:cs="Garamond" w:eastAsia="Garamond" w:hAnsi="Garamond"/>
                <w:b w:val="1"/>
                <w:bCs w:val="1"/>
                <w:i w:val="0"/>
                <w:iCs w:val="0"/>
                <w:smallCaps w:val="0"/>
                <w:strike w:val="0"/>
                <w:color w:val="000000"/>
                <w:sz w:val="20"/>
                <w:szCs w:val="20"/>
                <w:u w:val="none"/>
                <w:shd w:fill="auto" w:val="clear"/>
                <w:vertAlign w:val="baseline"/>
              </w:rPr>
            </w:pPr>
            <w:r w:rsidDel="00000000" w:rsidR="00000000" w:rsidRPr="00000000">
              <w:rPr>
                <w:rtl w:val="0"/>
              </w:rPr>
            </w:r>
          </w:p>
        </w:tc>
        <w:tc>
          <w:tcPr>
            <w:vAlign w:val="center"/>
          </w:tcPr>
          <w:p w:rsidR="00000000" w:rsidDel="00000000" w:rsidP="00000000" w:rsidRDefault="00000000" w:rsidRPr="00000000" w14:paraId="00000291">
            <w:pPr>
              <w:keepNext w:val="0"/>
              <w:keepLines w:val="0"/>
              <w:widowControl w:val="0"/>
              <w:pBdr>
                <w:top w:space="0" w:sz="0" w:val="nil"/>
                <w:left w:space="0" w:sz="0" w:val="nil"/>
                <w:bottom w:space="0" w:sz="0" w:val="nil"/>
                <w:right w:space="0" w:sz="0" w:val="nil"/>
                <w:between w:space="0" w:sz="0" w:val="nil"/>
              </w:pBdr>
              <w:shd w:fill="auto" w:val="clear"/>
              <w:spacing w:after="0" w:before="0" w:line="184" w:lineRule="auto"/>
              <w:ind w:left="322" w:right="317"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SI</w:t>
            </w:r>
          </w:p>
        </w:tc>
        <w:tc>
          <w:tcPr>
            <w:vAlign w:val="center"/>
          </w:tcPr>
          <w:p w:rsidR="00000000" w:rsidDel="00000000" w:rsidP="00000000" w:rsidRDefault="00000000" w:rsidRPr="00000000" w14:paraId="00000292">
            <w:pPr>
              <w:keepNext w:val="0"/>
              <w:keepLines w:val="0"/>
              <w:widowControl w:val="0"/>
              <w:pBdr>
                <w:top w:space="0" w:sz="0" w:val="nil"/>
                <w:left w:space="0" w:sz="0" w:val="nil"/>
                <w:bottom w:space="0" w:sz="0" w:val="nil"/>
                <w:right w:space="0" w:sz="0" w:val="nil"/>
                <w:between w:space="0" w:sz="0" w:val="nil"/>
              </w:pBdr>
              <w:shd w:fill="auto" w:val="clear"/>
              <w:spacing w:after="0" w:before="0" w:line="184" w:lineRule="auto"/>
              <w:ind w:left="410" w:right="401"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NO</w:t>
            </w:r>
          </w:p>
        </w:tc>
        <w:tc>
          <w:tcPr>
            <w:vAlign w:val="center"/>
          </w:tcPr>
          <w:p w:rsidR="00000000" w:rsidDel="00000000" w:rsidP="00000000" w:rsidRDefault="00000000" w:rsidRPr="00000000" w14:paraId="00000293">
            <w:pPr>
              <w:keepNext w:val="0"/>
              <w:keepLines w:val="0"/>
              <w:widowControl w:val="0"/>
              <w:pBdr>
                <w:top w:space="0" w:sz="0" w:val="nil"/>
                <w:left w:space="0" w:sz="0" w:val="nil"/>
                <w:bottom w:space="0" w:sz="0" w:val="nil"/>
                <w:right w:space="0" w:sz="0" w:val="nil"/>
                <w:between w:space="0" w:sz="0" w:val="nil"/>
              </w:pBdr>
              <w:shd w:fill="auto" w:val="clear"/>
              <w:spacing w:after="0" w:before="0" w:line="184" w:lineRule="auto"/>
              <w:ind w:left="0" w:right="1"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SI</w:t>
            </w:r>
          </w:p>
        </w:tc>
        <w:tc>
          <w:tcPr>
            <w:vAlign w:val="center"/>
          </w:tcPr>
          <w:p w:rsidR="00000000" w:rsidDel="00000000" w:rsidP="00000000" w:rsidRDefault="00000000" w:rsidRPr="00000000" w14:paraId="00000294">
            <w:pPr>
              <w:keepNext w:val="0"/>
              <w:keepLines w:val="0"/>
              <w:widowControl w:val="0"/>
              <w:pBdr>
                <w:top w:space="0" w:sz="0" w:val="nil"/>
                <w:left w:space="0" w:sz="0" w:val="nil"/>
                <w:bottom w:space="0" w:sz="0" w:val="nil"/>
                <w:right w:space="0" w:sz="0" w:val="nil"/>
                <w:between w:space="0" w:sz="0" w:val="nil"/>
              </w:pBdr>
              <w:shd w:fill="auto" w:val="clear"/>
              <w:spacing w:after="0" w:before="0" w:line="184" w:lineRule="auto"/>
              <w:ind w:left="141" w:right="0"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NO</w:t>
            </w:r>
          </w:p>
        </w:tc>
        <w:tc>
          <w:tcPr>
            <w:gridSpan w:val="2"/>
            <w:vAlign w:val="center"/>
          </w:tcPr>
          <w:p w:rsidR="00000000" w:rsidDel="00000000" w:rsidP="00000000" w:rsidRDefault="00000000" w:rsidRPr="00000000" w14:paraId="00000295">
            <w:pPr>
              <w:keepNext w:val="0"/>
              <w:keepLines w:val="0"/>
              <w:widowControl w:val="0"/>
              <w:pBdr>
                <w:top w:space="0" w:sz="0" w:val="nil"/>
                <w:left w:space="0" w:sz="0" w:val="nil"/>
                <w:bottom w:space="0" w:sz="0" w:val="nil"/>
                <w:right w:space="0" w:sz="0" w:val="nil"/>
                <w:between w:space="0" w:sz="0" w:val="nil"/>
              </w:pBdr>
              <w:shd w:fill="auto" w:val="clear"/>
              <w:spacing w:after="0" w:before="0" w:line="184" w:lineRule="auto"/>
              <w:ind w:left="0" w:right="0"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NO</w:t>
            </w:r>
          </w:p>
        </w:tc>
      </w:tr>
      <w:tr>
        <w:trPr>
          <w:cantSplit w:val="0"/>
          <w:trHeight w:val="203" w:hRule="atLeast"/>
          <w:tblHeader w:val="0"/>
        </w:trPr>
        <w:tc>
          <w:tcPr>
            <w:vAlign w:val="center"/>
          </w:tcPr>
          <w:p w:rsidR="00000000" w:rsidDel="00000000" w:rsidP="00000000" w:rsidRDefault="00000000" w:rsidRPr="00000000" w14:paraId="00000297">
            <w:pPr>
              <w:keepNext w:val="0"/>
              <w:keepLines w:val="0"/>
              <w:widowControl w:val="0"/>
              <w:pBdr>
                <w:top w:space="0" w:sz="0" w:val="nil"/>
                <w:left w:space="0" w:sz="0" w:val="nil"/>
                <w:bottom w:space="0" w:sz="0" w:val="nil"/>
                <w:right w:space="0" w:sz="0" w:val="nil"/>
                <w:between w:space="0" w:sz="0" w:val="nil"/>
              </w:pBdr>
              <w:shd w:fill="auto" w:val="clear"/>
              <w:spacing w:after="0" w:before="0" w:line="184" w:lineRule="auto"/>
              <w:ind w:left="57" w:right="0" w:firstLine="0"/>
              <w:jc w:val="center"/>
              <w:rPr>
                <w:rFonts w:ascii="Garamond" w:cs="Garamond" w:eastAsia="Garamond" w:hAnsi="Garamond"/>
                <w:b w:val="1"/>
                <w:bCs w:val="1"/>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1"/>
                <w:bCs w:val="1"/>
                <w:i w:val="0"/>
                <w:iCs w:val="0"/>
                <w:smallCaps w:val="0"/>
                <w:strike w:val="0"/>
                <w:color w:val="000000"/>
                <w:sz w:val="20"/>
                <w:szCs w:val="20"/>
                <w:u w:val="none"/>
                <w:shd w:fill="auto" w:val="clear"/>
                <w:vertAlign w:val="baseline"/>
                <w:rtl w:val="0"/>
              </w:rPr>
              <w:t xml:space="preserve">Corea</w:t>
            </w:r>
          </w:p>
        </w:tc>
        <w:tc>
          <w:tcPr>
            <w:vAlign w:val="center"/>
          </w:tcPr>
          <w:p w:rsidR="00000000" w:rsidDel="00000000" w:rsidP="00000000" w:rsidRDefault="00000000" w:rsidRPr="00000000" w14:paraId="0000029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Garamond" w:cs="Garamond" w:eastAsia="Garamond" w:hAnsi="Garamond"/>
                <w:b w:val="1"/>
                <w:bCs w:val="1"/>
                <w:i w:val="0"/>
                <w:iCs w:val="0"/>
                <w:smallCaps w:val="0"/>
                <w:strike w:val="0"/>
                <w:color w:val="000000"/>
                <w:sz w:val="20"/>
                <w:szCs w:val="20"/>
                <w:u w:val="none"/>
                <w:shd w:fill="auto" w:val="clear"/>
                <w:vertAlign w:val="baseline"/>
              </w:rPr>
            </w:pPr>
            <w:r w:rsidDel="00000000" w:rsidR="00000000" w:rsidRPr="00000000">
              <w:rPr>
                <w:rtl w:val="0"/>
              </w:rPr>
            </w:r>
          </w:p>
        </w:tc>
        <w:tc>
          <w:tcPr>
            <w:vAlign w:val="center"/>
          </w:tcPr>
          <w:p w:rsidR="00000000" w:rsidDel="00000000" w:rsidP="00000000" w:rsidRDefault="00000000" w:rsidRPr="00000000" w14:paraId="00000299">
            <w:pPr>
              <w:keepNext w:val="0"/>
              <w:keepLines w:val="0"/>
              <w:widowControl w:val="0"/>
              <w:pBdr>
                <w:top w:space="0" w:sz="0" w:val="nil"/>
                <w:left w:space="0" w:sz="0" w:val="nil"/>
                <w:bottom w:space="0" w:sz="0" w:val="nil"/>
                <w:right w:space="0" w:sz="0" w:val="nil"/>
                <w:between w:space="0" w:sz="0" w:val="nil"/>
              </w:pBdr>
              <w:shd w:fill="auto" w:val="clear"/>
              <w:spacing w:after="0" w:before="0" w:line="184" w:lineRule="auto"/>
              <w:ind w:left="323" w:right="315"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SI</w:t>
            </w:r>
          </w:p>
        </w:tc>
        <w:tc>
          <w:tcPr>
            <w:vAlign w:val="center"/>
          </w:tcPr>
          <w:p w:rsidR="00000000" w:rsidDel="00000000" w:rsidP="00000000" w:rsidRDefault="00000000" w:rsidRPr="00000000" w14:paraId="0000029A">
            <w:pPr>
              <w:keepNext w:val="0"/>
              <w:keepLines w:val="0"/>
              <w:widowControl w:val="0"/>
              <w:pBdr>
                <w:top w:space="0" w:sz="0" w:val="nil"/>
                <w:left w:space="0" w:sz="0" w:val="nil"/>
                <w:bottom w:space="0" w:sz="0" w:val="nil"/>
                <w:right w:space="0" w:sz="0" w:val="nil"/>
                <w:between w:space="0" w:sz="0" w:val="nil"/>
              </w:pBdr>
              <w:shd w:fill="auto" w:val="clear"/>
              <w:spacing w:after="0" w:before="0" w:line="184" w:lineRule="auto"/>
              <w:ind w:left="412" w:right="398"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NO</w:t>
            </w:r>
          </w:p>
        </w:tc>
        <w:tc>
          <w:tcPr>
            <w:vAlign w:val="center"/>
          </w:tcPr>
          <w:p w:rsidR="00000000" w:rsidDel="00000000" w:rsidP="00000000" w:rsidRDefault="00000000" w:rsidRPr="00000000" w14:paraId="0000029B">
            <w:pPr>
              <w:keepNext w:val="0"/>
              <w:keepLines w:val="0"/>
              <w:widowControl w:val="0"/>
              <w:pBdr>
                <w:top w:space="0" w:sz="0" w:val="nil"/>
                <w:left w:space="0" w:sz="0" w:val="nil"/>
                <w:bottom w:space="0" w:sz="0" w:val="nil"/>
                <w:right w:space="0" w:sz="0" w:val="nil"/>
                <w:between w:space="0" w:sz="0" w:val="nil"/>
              </w:pBdr>
              <w:shd w:fill="auto" w:val="clear"/>
              <w:spacing w:after="0" w:before="0" w:line="184" w:lineRule="auto"/>
              <w:ind w:left="0" w:right="1"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SI</w:t>
            </w:r>
          </w:p>
        </w:tc>
        <w:tc>
          <w:tcPr>
            <w:vAlign w:val="center"/>
          </w:tcPr>
          <w:p w:rsidR="00000000" w:rsidDel="00000000" w:rsidP="00000000" w:rsidRDefault="00000000" w:rsidRPr="00000000" w14:paraId="0000029C">
            <w:pPr>
              <w:keepNext w:val="0"/>
              <w:keepLines w:val="0"/>
              <w:widowControl w:val="0"/>
              <w:pBdr>
                <w:top w:space="0" w:sz="0" w:val="nil"/>
                <w:left w:space="0" w:sz="0" w:val="nil"/>
                <w:bottom w:space="0" w:sz="0" w:val="nil"/>
                <w:right w:space="0" w:sz="0" w:val="nil"/>
                <w:between w:space="0" w:sz="0" w:val="nil"/>
              </w:pBdr>
              <w:shd w:fill="auto" w:val="clear"/>
              <w:spacing w:after="0" w:before="0" w:line="184" w:lineRule="auto"/>
              <w:ind w:left="0" w:right="-148"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NO</w:t>
            </w:r>
          </w:p>
        </w:tc>
        <w:tc>
          <w:tcPr>
            <w:vAlign w:val="center"/>
          </w:tcPr>
          <w:p w:rsidR="00000000" w:rsidDel="00000000" w:rsidP="00000000" w:rsidRDefault="00000000" w:rsidRPr="00000000" w14:paraId="0000029D">
            <w:pPr>
              <w:keepNext w:val="0"/>
              <w:keepLines w:val="0"/>
              <w:widowControl w:val="0"/>
              <w:pBdr>
                <w:top w:space="0" w:sz="0" w:val="nil"/>
                <w:left w:space="0" w:sz="0" w:val="nil"/>
                <w:bottom w:space="0" w:sz="0" w:val="nil"/>
                <w:right w:space="0" w:sz="0" w:val="nil"/>
                <w:between w:space="0" w:sz="0" w:val="nil"/>
              </w:pBdr>
              <w:shd w:fill="auto" w:val="clear"/>
              <w:spacing w:after="0" w:before="0" w:line="184" w:lineRule="auto"/>
              <w:ind w:left="0" w:right="0"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NO</w:t>
            </w:r>
          </w:p>
        </w:tc>
      </w:tr>
      <w:tr>
        <w:trPr>
          <w:cantSplit w:val="0"/>
          <w:trHeight w:val="201" w:hRule="atLeast"/>
          <w:tblHeader w:val="0"/>
        </w:trPr>
        <w:tc>
          <w:tcPr>
            <w:vAlign w:val="center"/>
          </w:tcPr>
          <w:p w:rsidR="00000000" w:rsidDel="00000000" w:rsidP="00000000" w:rsidRDefault="00000000" w:rsidRPr="00000000" w14:paraId="0000029E">
            <w:pPr>
              <w:keepNext w:val="0"/>
              <w:keepLines w:val="0"/>
              <w:widowControl w:val="0"/>
              <w:pBdr>
                <w:top w:space="0" w:sz="0" w:val="nil"/>
                <w:left w:space="0" w:sz="0" w:val="nil"/>
                <w:bottom w:space="0" w:sz="0" w:val="nil"/>
                <w:right w:space="0" w:sz="0" w:val="nil"/>
                <w:between w:space="0" w:sz="0" w:val="nil"/>
              </w:pBdr>
              <w:shd w:fill="auto" w:val="clear"/>
              <w:spacing w:after="0" w:before="0" w:line="181" w:lineRule="auto"/>
              <w:ind w:left="57" w:right="0" w:firstLine="0"/>
              <w:jc w:val="center"/>
              <w:rPr>
                <w:rFonts w:ascii="Garamond" w:cs="Garamond" w:eastAsia="Garamond" w:hAnsi="Garamond"/>
                <w:b w:val="1"/>
                <w:bCs w:val="1"/>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1"/>
                <w:bCs w:val="1"/>
                <w:i w:val="0"/>
                <w:iCs w:val="0"/>
                <w:smallCaps w:val="0"/>
                <w:strike w:val="0"/>
                <w:color w:val="000000"/>
                <w:sz w:val="20"/>
                <w:szCs w:val="20"/>
                <w:u w:val="none"/>
                <w:shd w:fill="auto" w:val="clear"/>
                <w:vertAlign w:val="baseline"/>
                <w:rtl w:val="0"/>
              </w:rPr>
              <w:t xml:space="preserve">Costa Rica</w:t>
            </w:r>
          </w:p>
        </w:tc>
        <w:tc>
          <w:tcPr>
            <w:vAlign w:val="center"/>
          </w:tcPr>
          <w:p w:rsidR="00000000" w:rsidDel="00000000" w:rsidP="00000000" w:rsidRDefault="00000000" w:rsidRPr="00000000" w14:paraId="0000029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Garamond" w:cs="Garamond" w:eastAsia="Garamond" w:hAnsi="Garamond"/>
                <w:b w:val="1"/>
                <w:bCs w:val="1"/>
                <w:i w:val="0"/>
                <w:iCs w:val="0"/>
                <w:smallCaps w:val="0"/>
                <w:strike w:val="0"/>
                <w:color w:val="000000"/>
                <w:sz w:val="20"/>
                <w:szCs w:val="20"/>
                <w:u w:val="none"/>
                <w:shd w:fill="auto" w:val="clear"/>
                <w:vertAlign w:val="baseline"/>
              </w:rPr>
            </w:pPr>
            <w:r w:rsidDel="00000000" w:rsidR="00000000" w:rsidRPr="00000000">
              <w:rPr>
                <w:rtl w:val="0"/>
              </w:rPr>
            </w:r>
          </w:p>
        </w:tc>
        <w:tc>
          <w:tcPr>
            <w:vAlign w:val="center"/>
          </w:tcPr>
          <w:p w:rsidR="00000000" w:rsidDel="00000000" w:rsidP="00000000" w:rsidRDefault="00000000" w:rsidRPr="00000000" w14:paraId="000002A0">
            <w:pPr>
              <w:keepNext w:val="0"/>
              <w:keepLines w:val="0"/>
              <w:widowControl w:val="0"/>
              <w:pBdr>
                <w:top w:space="0" w:sz="0" w:val="nil"/>
                <w:left w:space="0" w:sz="0" w:val="nil"/>
                <w:bottom w:space="0" w:sz="0" w:val="nil"/>
                <w:right w:space="0" w:sz="0" w:val="nil"/>
                <w:between w:space="0" w:sz="0" w:val="nil"/>
              </w:pBdr>
              <w:shd w:fill="auto" w:val="clear"/>
              <w:spacing w:after="0" w:before="0" w:line="181" w:lineRule="auto"/>
              <w:ind w:left="323" w:right="315"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SI</w:t>
            </w:r>
          </w:p>
        </w:tc>
        <w:tc>
          <w:tcPr>
            <w:vAlign w:val="center"/>
          </w:tcPr>
          <w:p w:rsidR="00000000" w:rsidDel="00000000" w:rsidP="00000000" w:rsidRDefault="00000000" w:rsidRPr="00000000" w14:paraId="000002A1">
            <w:pPr>
              <w:keepNext w:val="0"/>
              <w:keepLines w:val="0"/>
              <w:widowControl w:val="0"/>
              <w:pBdr>
                <w:top w:space="0" w:sz="0" w:val="nil"/>
                <w:left w:space="0" w:sz="0" w:val="nil"/>
                <w:bottom w:space="0" w:sz="0" w:val="nil"/>
                <w:right w:space="0" w:sz="0" w:val="nil"/>
                <w:between w:space="0" w:sz="0" w:val="nil"/>
              </w:pBdr>
              <w:shd w:fill="auto" w:val="clear"/>
              <w:spacing w:after="0" w:before="0" w:line="181" w:lineRule="auto"/>
              <w:ind w:left="412" w:right="398"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NO</w:t>
            </w:r>
          </w:p>
        </w:tc>
        <w:tc>
          <w:tcPr>
            <w:vAlign w:val="center"/>
          </w:tcPr>
          <w:p w:rsidR="00000000" w:rsidDel="00000000" w:rsidP="00000000" w:rsidRDefault="00000000" w:rsidRPr="00000000" w14:paraId="000002A2">
            <w:pPr>
              <w:keepNext w:val="0"/>
              <w:keepLines w:val="0"/>
              <w:widowControl w:val="0"/>
              <w:pBdr>
                <w:top w:space="0" w:sz="0" w:val="nil"/>
                <w:left w:space="0" w:sz="0" w:val="nil"/>
                <w:bottom w:space="0" w:sz="0" w:val="nil"/>
                <w:right w:space="0" w:sz="0" w:val="nil"/>
                <w:between w:space="0" w:sz="0" w:val="nil"/>
              </w:pBdr>
              <w:shd w:fill="auto" w:val="clear"/>
              <w:spacing w:after="0" w:before="0" w:line="181" w:lineRule="auto"/>
              <w:ind w:left="0" w:right="1"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SI</w:t>
            </w:r>
          </w:p>
        </w:tc>
        <w:tc>
          <w:tcPr>
            <w:vAlign w:val="center"/>
          </w:tcPr>
          <w:p w:rsidR="00000000" w:rsidDel="00000000" w:rsidP="00000000" w:rsidRDefault="00000000" w:rsidRPr="00000000" w14:paraId="000002A3">
            <w:pPr>
              <w:keepNext w:val="0"/>
              <w:keepLines w:val="0"/>
              <w:widowControl w:val="0"/>
              <w:pBdr>
                <w:top w:space="0" w:sz="0" w:val="nil"/>
                <w:left w:space="0" w:sz="0" w:val="nil"/>
                <w:bottom w:space="0" w:sz="0" w:val="nil"/>
                <w:right w:space="0" w:sz="0" w:val="nil"/>
                <w:between w:space="0" w:sz="0" w:val="nil"/>
              </w:pBdr>
              <w:shd w:fill="auto" w:val="clear"/>
              <w:spacing w:after="0" w:before="0" w:line="181" w:lineRule="auto"/>
              <w:ind w:left="0" w:right="-148"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NO</w:t>
            </w:r>
          </w:p>
        </w:tc>
        <w:tc>
          <w:tcPr>
            <w:vAlign w:val="center"/>
          </w:tcPr>
          <w:p w:rsidR="00000000" w:rsidDel="00000000" w:rsidP="00000000" w:rsidRDefault="00000000" w:rsidRPr="00000000" w14:paraId="000002A4">
            <w:pPr>
              <w:keepNext w:val="0"/>
              <w:keepLines w:val="0"/>
              <w:widowControl w:val="0"/>
              <w:pBdr>
                <w:top w:space="0" w:sz="0" w:val="nil"/>
                <w:left w:space="0" w:sz="0" w:val="nil"/>
                <w:bottom w:space="0" w:sz="0" w:val="nil"/>
                <w:right w:space="0" w:sz="0" w:val="nil"/>
                <w:between w:space="0" w:sz="0" w:val="nil"/>
              </w:pBdr>
              <w:shd w:fill="auto" w:val="clear"/>
              <w:spacing w:after="0" w:before="0" w:line="181" w:lineRule="auto"/>
              <w:ind w:left="0" w:right="0"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NO</w:t>
            </w:r>
          </w:p>
        </w:tc>
      </w:tr>
      <w:tr>
        <w:trPr>
          <w:cantSplit w:val="0"/>
          <w:trHeight w:val="203" w:hRule="atLeast"/>
          <w:tblHeader w:val="0"/>
        </w:trPr>
        <w:tc>
          <w:tcPr>
            <w:vAlign w:val="center"/>
          </w:tcPr>
          <w:p w:rsidR="00000000" w:rsidDel="00000000" w:rsidP="00000000" w:rsidRDefault="00000000" w:rsidRPr="00000000" w14:paraId="000002A5">
            <w:pPr>
              <w:keepNext w:val="0"/>
              <w:keepLines w:val="0"/>
              <w:widowControl w:val="0"/>
              <w:pBdr>
                <w:top w:space="0" w:sz="0" w:val="nil"/>
                <w:left w:space="0" w:sz="0" w:val="nil"/>
                <w:bottom w:space="0" w:sz="0" w:val="nil"/>
                <w:right w:space="0" w:sz="0" w:val="nil"/>
                <w:between w:space="0" w:sz="0" w:val="nil"/>
              </w:pBdr>
              <w:shd w:fill="auto" w:val="clear"/>
              <w:spacing w:after="0" w:before="0" w:line="184" w:lineRule="auto"/>
              <w:ind w:left="57" w:right="0" w:firstLine="0"/>
              <w:jc w:val="center"/>
              <w:rPr>
                <w:rFonts w:ascii="Garamond" w:cs="Garamond" w:eastAsia="Garamond" w:hAnsi="Garamond"/>
                <w:b w:val="1"/>
                <w:bCs w:val="1"/>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1"/>
                <w:bCs w:val="1"/>
                <w:i w:val="0"/>
                <w:iCs w:val="0"/>
                <w:smallCaps w:val="0"/>
                <w:strike w:val="0"/>
                <w:color w:val="000000"/>
                <w:sz w:val="20"/>
                <w:szCs w:val="20"/>
                <w:u w:val="none"/>
                <w:shd w:fill="auto" w:val="clear"/>
                <w:vertAlign w:val="baseline"/>
                <w:rtl w:val="0"/>
              </w:rPr>
              <w:t xml:space="preserve">Estados Unidos</w:t>
            </w:r>
          </w:p>
        </w:tc>
        <w:tc>
          <w:tcPr>
            <w:vAlign w:val="center"/>
          </w:tcPr>
          <w:p w:rsidR="00000000" w:rsidDel="00000000" w:rsidP="00000000" w:rsidRDefault="00000000" w:rsidRPr="00000000" w14:paraId="000002A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Garamond" w:cs="Garamond" w:eastAsia="Garamond" w:hAnsi="Garamond"/>
                <w:b w:val="1"/>
                <w:bCs w:val="1"/>
                <w:i w:val="0"/>
                <w:iCs w:val="0"/>
                <w:smallCaps w:val="0"/>
                <w:strike w:val="0"/>
                <w:color w:val="000000"/>
                <w:sz w:val="20"/>
                <w:szCs w:val="20"/>
                <w:u w:val="none"/>
                <w:shd w:fill="auto" w:val="clear"/>
                <w:vertAlign w:val="baseline"/>
              </w:rPr>
            </w:pPr>
            <w:r w:rsidDel="00000000" w:rsidR="00000000" w:rsidRPr="00000000">
              <w:rPr>
                <w:rtl w:val="0"/>
              </w:rPr>
            </w:r>
          </w:p>
        </w:tc>
        <w:tc>
          <w:tcPr>
            <w:vAlign w:val="center"/>
          </w:tcPr>
          <w:p w:rsidR="00000000" w:rsidDel="00000000" w:rsidP="00000000" w:rsidRDefault="00000000" w:rsidRPr="00000000" w14:paraId="000002A7">
            <w:pPr>
              <w:keepNext w:val="0"/>
              <w:keepLines w:val="0"/>
              <w:widowControl w:val="0"/>
              <w:pBdr>
                <w:top w:space="0" w:sz="0" w:val="nil"/>
                <w:left w:space="0" w:sz="0" w:val="nil"/>
                <w:bottom w:space="0" w:sz="0" w:val="nil"/>
                <w:right w:space="0" w:sz="0" w:val="nil"/>
                <w:between w:space="0" w:sz="0" w:val="nil"/>
              </w:pBdr>
              <w:shd w:fill="auto" w:val="clear"/>
              <w:spacing w:after="0" w:before="0" w:line="184" w:lineRule="auto"/>
              <w:ind w:left="323" w:right="315"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SI</w:t>
            </w:r>
          </w:p>
        </w:tc>
        <w:tc>
          <w:tcPr>
            <w:vAlign w:val="center"/>
          </w:tcPr>
          <w:p w:rsidR="00000000" w:rsidDel="00000000" w:rsidP="00000000" w:rsidRDefault="00000000" w:rsidRPr="00000000" w14:paraId="000002A8">
            <w:pPr>
              <w:keepNext w:val="0"/>
              <w:keepLines w:val="0"/>
              <w:widowControl w:val="0"/>
              <w:pBdr>
                <w:top w:space="0" w:sz="0" w:val="nil"/>
                <w:left w:space="0" w:sz="0" w:val="nil"/>
                <w:bottom w:space="0" w:sz="0" w:val="nil"/>
                <w:right w:space="0" w:sz="0" w:val="nil"/>
                <w:between w:space="0" w:sz="0" w:val="nil"/>
              </w:pBdr>
              <w:shd w:fill="auto" w:val="clear"/>
              <w:spacing w:after="0" w:before="0" w:line="184" w:lineRule="auto"/>
              <w:ind w:left="412" w:right="398"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NO</w:t>
            </w:r>
          </w:p>
        </w:tc>
        <w:tc>
          <w:tcPr>
            <w:vAlign w:val="center"/>
          </w:tcPr>
          <w:p w:rsidR="00000000" w:rsidDel="00000000" w:rsidP="00000000" w:rsidRDefault="00000000" w:rsidRPr="00000000" w14:paraId="000002A9">
            <w:pPr>
              <w:keepNext w:val="0"/>
              <w:keepLines w:val="0"/>
              <w:widowControl w:val="0"/>
              <w:pBdr>
                <w:top w:space="0" w:sz="0" w:val="nil"/>
                <w:left w:space="0" w:sz="0" w:val="nil"/>
                <w:bottom w:space="0" w:sz="0" w:val="nil"/>
                <w:right w:space="0" w:sz="0" w:val="nil"/>
                <w:between w:space="0" w:sz="0" w:val="nil"/>
              </w:pBdr>
              <w:shd w:fill="auto" w:val="clear"/>
              <w:spacing w:after="0" w:before="0" w:line="184" w:lineRule="auto"/>
              <w:ind w:left="0" w:right="1"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SI</w:t>
            </w:r>
          </w:p>
        </w:tc>
        <w:tc>
          <w:tcPr>
            <w:vAlign w:val="center"/>
          </w:tcPr>
          <w:p w:rsidR="00000000" w:rsidDel="00000000" w:rsidP="00000000" w:rsidRDefault="00000000" w:rsidRPr="00000000" w14:paraId="000002AA">
            <w:pPr>
              <w:keepNext w:val="0"/>
              <w:keepLines w:val="0"/>
              <w:widowControl w:val="0"/>
              <w:pBdr>
                <w:top w:space="0" w:sz="0" w:val="nil"/>
                <w:left w:space="0" w:sz="0" w:val="nil"/>
                <w:bottom w:space="0" w:sz="0" w:val="nil"/>
                <w:right w:space="0" w:sz="0" w:val="nil"/>
                <w:between w:space="0" w:sz="0" w:val="nil"/>
              </w:pBdr>
              <w:shd w:fill="auto" w:val="clear"/>
              <w:spacing w:after="0" w:before="0" w:line="184" w:lineRule="auto"/>
              <w:ind w:left="0" w:right="-148"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NO</w:t>
            </w:r>
          </w:p>
        </w:tc>
        <w:tc>
          <w:tcPr>
            <w:vAlign w:val="center"/>
          </w:tcPr>
          <w:p w:rsidR="00000000" w:rsidDel="00000000" w:rsidP="00000000" w:rsidRDefault="00000000" w:rsidRPr="00000000" w14:paraId="000002AB">
            <w:pPr>
              <w:keepNext w:val="0"/>
              <w:keepLines w:val="0"/>
              <w:widowControl w:val="0"/>
              <w:pBdr>
                <w:top w:space="0" w:sz="0" w:val="nil"/>
                <w:left w:space="0" w:sz="0" w:val="nil"/>
                <w:bottom w:space="0" w:sz="0" w:val="nil"/>
                <w:right w:space="0" w:sz="0" w:val="nil"/>
                <w:between w:space="0" w:sz="0" w:val="nil"/>
              </w:pBdr>
              <w:shd w:fill="auto" w:val="clear"/>
              <w:spacing w:after="0" w:before="0" w:line="184" w:lineRule="auto"/>
              <w:ind w:left="0" w:right="0"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NO</w:t>
            </w:r>
          </w:p>
        </w:tc>
      </w:tr>
      <w:tr>
        <w:trPr>
          <w:cantSplit w:val="0"/>
          <w:trHeight w:val="201" w:hRule="atLeast"/>
          <w:tblHeader w:val="0"/>
        </w:trPr>
        <w:tc>
          <w:tcPr>
            <w:vAlign w:val="center"/>
          </w:tcPr>
          <w:p w:rsidR="00000000" w:rsidDel="00000000" w:rsidP="00000000" w:rsidRDefault="00000000" w:rsidRPr="00000000" w14:paraId="000002AC">
            <w:pPr>
              <w:keepNext w:val="0"/>
              <w:keepLines w:val="0"/>
              <w:widowControl w:val="0"/>
              <w:pBdr>
                <w:top w:space="0" w:sz="0" w:val="nil"/>
                <w:left w:space="0" w:sz="0" w:val="nil"/>
                <w:bottom w:space="0" w:sz="0" w:val="nil"/>
                <w:right w:space="0" w:sz="0" w:val="nil"/>
                <w:between w:space="0" w:sz="0" w:val="nil"/>
              </w:pBdr>
              <w:shd w:fill="auto" w:val="clear"/>
              <w:spacing w:after="0" w:before="0" w:line="181" w:lineRule="auto"/>
              <w:ind w:left="57" w:right="0" w:firstLine="0"/>
              <w:jc w:val="center"/>
              <w:rPr>
                <w:rFonts w:ascii="Garamond" w:cs="Garamond" w:eastAsia="Garamond" w:hAnsi="Garamond"/>
                <w:b w:val="1"/>
                <w:bCs w:val="1"/>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1"/>
                <w:bCs w:val="1"/>
                <w:i w:val="0"/>
                <w:iCs w:val="0"/>
                <w:smallCaps w:val="0"/>
                <w:strike w:val="0"/>
                <w:color w:val="000000"/>
                <w:sz w:val="20"/>
                <w:szCs w:val="20"/>
                <w:u w:val="none"/>
                <w:shd w:fill="auto" w:val="clear"/>
                <w:vertAlign w:val="baseline"/>
                <w:rtl w:val="0"/>
              </w:rPr>
              <w:t xml:space="preserve">Estados AELC</w:t>
            </w:r>
          </w:p>
        </w:tc>
        <w:tc>
          <w:tcPr>
            <w:vAlign w:val="center"/>
          </w:tcPr>
          <w:p w:rsidR="00000000" w:rsidDel="00000000" w:rsidP="00000000" w:rsidRDefault="00000000" w:rsidRPr="00000000" w14:paraId="000002A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Garamond" w:cs="Garamond" w:eastAsia="Garamond" w:hAnsi="Garamond"/>
                <w:b w:val="1"/>
                <w:bCs w:val="1"/>
                <w:i w:val="0"/>
                <w:iCs w:val="0"/>
                <w:smallCaps w:val="0"/>
                <w:strike w:val="0"/>
                <w:color w:val="000000"/>
                <w:sz w:val="20"/>
                <w:szCs w:val="20"/>
                <w:u w:val="none"/>
                <w:shd w:fill="auto" w:val="clear"/>
                <w:vertAlign w:val="baseline"/>
              </w:rPr>
            </w:pPr>
            <w:r w:rsidDel="00000000" w:rsidR="00000000" w:rsidRPr="00000000">
              <w:rPr>
                <w:rtl w:val="0"/>
              </w:rPr>
            </w:r>
          </w:p>
        </w:tc>
        <w:tc>
          <w:tcPr>
            <w:vAlign w:val="center"/>
          </w:tcPr>
          <w:p w:rsidR="00000000" w:rsidDel="00000000" w:rsidP="00000000" w:rsidRDefault="00000000" w:rsidRPr="00000000" w14:paraId="000002AE">
            <w:pPr>
              <w:keepNext w:val="0"/>
              <w:keepLines w:val="0"/>
              <w:widowControl w:val="0"/>
              <w:pBdr>
                <w:top w:space="0" w:sz="0" w:val="nil"/>
                <w:left w:space="0" w:sz="0" w:val="nil"/>
                <w:bottom w:space="0" w:sz="0" w:val="nil"/>
                <w:right w:space="0" w:sz="0" w:val="nil"/>
                <w:between w:space="0" w:sz="0" w:val="nil"/>
              </w:pBdr>
              <w:shd w:fill="auto" w:val="clear"/>
              <w:spacing w:after="0" w:before="0" w:line="181" w:lineRule="auto"/>
              <w:ind w:left="323" w:right="315"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SI</w:t>
            </w:r>
          </w:p>
        </w:tc>
        <w:tc>
          <w:tcPr>
            <w:vAlign w:val="center"/>
          </w:tcPr>
          <w:p w:rsidR="00000000" w:rsidDel="00000000" w:rsidP="00000000" w:rsidRDefault="00000000" w:rsidRPr="00000000" w14:paraId="000002AF">
            <w:pPr>
              <w:keepNext w:val="0"/>
              <w:keepLines w:val="0"/>
              <w:widowControl w:val="0"/>
              <w:pBdr>
                <w:top w:space="0" w:sz="0" w:val="nil"/>
                <w:left w:space="0" w:sz="0" w:val="nil"/>
                <w:bottom w:space="0" w:sz="0" w:val="nil"/>
                <w:right w:space="0" w:sz="0" w:val="nil"/>
                <w:between w:space="0" w:sz="0" w:val="nil"/>
              </w:pBdr>
              <w:shd w:fill="auto" w:val="clear"/>
              <w:spacing w:after="0" w:before="0" w:line="181" w:lineRule="auto"/>
              <w:ind w:left="412" w:right="398"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NO</w:t>
            </w:r>
          </w:p>
        </w:tc>
        <w:tc>
          <w:tcPr>
            <w:vAlign w:val="center"/>
          </w:tcPr>
          <w:p w:rsidR="00000000" w:rsidDel="00000000" w:rsidP="00000000" w:rsidRDefault="00000000" w:rsidRPr="00000000" w14:paraId="000002B0">
            <w:pPr>
              <w:keepNext w:val="0"/>
              <w:keepLines w:val="0"/>
              <w:widowControl w:val="0"/>
              <w:pBdr>
                <w:top w:space="0" w:sz="0" w:val="nil"/>
                <w:left w:space="0" w:sz="0" w:val="nil"/>
                <w:bottom w:space="0" w:sz="0" w:val="nil"/>
                <w:right w:space="0" w:sz="0" w:val="nil"/>
                <w:between w:space="0" w:sz="0" w:val="nil"/>
              </w:pBdr>
              <w:shd w:fill="auto" w:val="clear"/>
              <w:spacing w:after="0" w:before="0" w:line="181" w:lineRule="auto"/>
              <w:ind w:left="0" w:right="1"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SI</w:t>
            </w:r>
          </w:p>
        </w:tc>
        <w:tc>
          <w:tcPr>
            <w:vAlign w:val="center"/>
          </w:tcPr>
          <w:p w:rsidR="00000000" w:rsidDel="00000000" w:rsidP="00000000" w:rsidRDefault="00000000" w:rsidRPr="00000000" w14:paraId="000002B1">
            <w:pPr>
              <w:keepNext w:val="0"/>
              <w:keepLines w:val="0"/>
              <w:widowControl w:val="0"/>
              <w:pBdr>
                <w:top w:space="0" w:sz="0" w:val="nil"/>
                <w:left w:space="0" w:sz="0" w:val="nil"/>
                <w:bottom w:space="0" w:sz="0" w:val="nil"/>
                <w:right w:space="0" w:sz="0" w:val="nil"/>
                <w:between w:space="0" w:sz="0" w:val="nil"/>
              </w:pBdr>
              <w:shd w:fill="auto" w:val="clear"/>
              <w:spacing w:after="0" w:before="0" w:line="181" w:lineRule="auto"/>
              <w:ind w:left="0" w:right="-148"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NO</w:t>
            </w:r>
          </w:p>
        </w:tc>
        <w:tc>
          <w:tcPr>
            <w:vAlign w:val="center"/>
          </w:tcPr>
          <w:p w:rsidR="00000000" w:rsidDel="00000000" w:rsidP="00000000" w:rsidRDefault="00000000" w:rsidRPr="00000000" w14:paraId="000002B2">
            <w:pPr>
              <w:keepNext w:val="0"/>
              <w:keepLines w:val="0"/>
              <w:widowControl w:val="0"/>
              <w:pBdr>
                <w:top w:space="0" w:sz="0" w:val="nil"/>
                <w:left w:space="0" w:sz="0" w:val="nil"/>
                <w:bottom w:space="0" w:sz="0" w:val="nil"/>
                <w:right w:space="0" w:sz="0" w:val="nil"/>
                <w:between w:space="0" w:sz="0" w:val="nil"/>
              </w:pBdr>
              <w:shd w:fill="auto" w:val="clear"/>
              <w:spacing w:after="0" w:before="0" w:line="181" w:lineRule="auto"/>
              <w:ind w:left="0" w:right="0"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NO</w:t>
            </w:r>
          </w:p>
        </w:tc>
      </w:tr>
      <w:tr>
        <w:trPr>
          <w:cantSplit w:val="0"/>
          <w:trHeight w:val="203" w:hRule="atLeast"/>
          <w:tblHeader w:val="0"/>
        </w:trPr>
        <w:tc>
          <w:tcPr>
            <w:vAlign w:val="center"/>
          </w:tcPr>
          <w:p w:rsidR="00000000" w:rsidDel="00000000" w:rsidP="00000000" w:rsidRDefault="00000000" w:rsidRPr="00000000" w14:paraId="000002B3">
            <w:pPr>
              <w:keepNext w:val="0"/>
              <w:keepLines w:val="0"/>
              <w:widowControl w:val="0"/>
              <w:pBdr>
                <w:top w:space="0" w:sz="0" w:val="nil"/>
                <w:left w:space="0" w:sz="0" w:val="nil"/>
                <w:bottom w:space="0" w:sz="0" w:val="nil"/>
                <w:right w:space="0" w:sz="0" w:val="nil"/>
                <w:between w:space="0" w:sz="0" w:val="nil"/>
              </w:pBdr>
              <w:shd w:fill="auto" w:val="clear"/>
              <w:spacing w:after="0" w:before="0" w:line="184" w:lineRule="auto"/>
              <w:ind w:left="57" w:right="0" w:firstLine="0"/>
              <w:jc w:val="center"/>
              <w:rPr>
                <w:rFonts w:ascii="Garamond" w:cs="Garamond" w:eastAsia="Garamond" w:hAnsi="Garamond"/>
                <w:b w:val="1"/>
                <w:bCs w:val="1"/>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1"/>
                <w:bCs w:val="1"/>
                <w:i w:val="0"/>
                <w:iCs w:val="0"/>
                <w:smallCaps w:val="0"/>
                <w:strike w:val="0"/>
                <w:color w:val="000000"/>
                <w:sz w:val="20"/>
                <w:szCs w:val="20"/>
                <w:u w:val="none"/>
                <w:shd w:fill="auto" w:val="clear"/>
                <w:vertAlign w:val="baseline"/>
                <w:rtl w:val="0"/>
              </w:rPr>
              <w:t xml:space="preserve">México</w:t>
            </w:r>
          </w:p>
        </w:tc>
        <w:tc>
          <w:tcPr>
            <w:vAlign w:val="center"/>
          </w:tcPr>
          <w:p w:rsidR="00000000" w:rsidDel="00000000" w:rsidP="00000000" w:rsidRDefault="00000000" w:rsidRPr="00000000" w14:paraId="000002B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Garamond" w:cs="Garamond" w:eastAsia="Garamond" w:hAnsi="Garamond"/>
                <w:b w:val="1"/>
                <w:bCs w:val="1"/>
                <w:i w:val="0"/>
                <w:iCs w:val="0"/>
                <w:smallCaps w:val="0"/>
                <w:strike w:val="0"/>
                <w:color w:val="000000"/>
                <w:sz w:val="20"/>
                <w:szCs w:val="20"/>
                <w:u w:val="none"/>
                <w:shd w:fill="auto" w:val="clear"/>
                <w:vertAlign w:val="baseline"/>
              </w:rPr>
            </w:pPr>
            <w:r w:rsidDel="00000000" w:rsidR="00000000" w:rsidRPr="00000000">
              <w:rPr>
                <w:rtl w:val="0"/>
              </w:rPr>
            </w:r>
          </w:p>
        </w:tc>
        <w:tc>
          <w:tcPr>
            <w:vAlign w:val="center"/>
          </w:tcPr>
          <w:p w:rsidR="00000000" w:rsidDel="00000000" w:rsidP="00000000" w:rsidRDefault="00000000" w:rsidRPr="00000000" w14:paraId="000002B5">
            <w:pPr>
              <w:keepNext w:val="0"/>
              <w:keepLines w:val="0"/>
              <w:widowControl w:val="0"/>
              <w:pBdr>
                <w:top w:space="0" w:sz="0" w:val="nil"/>
                <w:left w:space="0" w:sz="0" w:val="nil"/>
                <w:bottom w:space="0" w:sz="0" w:val="nil"/>
                <w:right w:space="0" w:sz="0" w:val="nil"/>
                <w:between w:space="0" w:sz="0" w:val="nil"/>
              </w:pBdr>
              <w:shd w:fill="auto" w:val="clear"/>
              <w:spacing w:after="0" w:before="0" w:line="184" w:lineRule="auto"/>
              <w:ind w:left="323" w:right="315"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SI</w:t>
            </w:r>
          </w:p>
        </w:tc>
        <w:tc>
          <w:tcPr>
            <w:vAlign w:val="center"/>
          </w:tcPr>
          <w:p w:rsidR="00000000" w:rsidDel="00000000" w:rsidP="00000000" w:rsidRDefault="00000000" w:rsidRPr="00000000" w14:paraId="000002B6">
            <w:pPr>
              <w:keepNext w:val="0"/>
              <w:keepLines w:val="0"/>
              <w:widowControl w:val="0"/>
              <w:pBdr>
                <w:top w:space="0" w:sz="0" w:val="nil"/>
                <w:left w:space="0" w:sz="0" w:val="nil"/>
                <w:bottom w:space="0" w:sz="0" w:val="nil"/>
                <w:right w:space="0" w:sz="0" w:val="nil"/>
                <w:between w:space="0" w:sz="0" w:val="nil"/>
              </w:pBdr>
              <w:shd w:fill="auto" w:val="clear"/>
              <w:spacing w:after="0" w:before="0" w:line="184" w:lineRule="auto"/>
              <w:ind w:left="412" w:right="398"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NO</w:t>
            </w:r>
          </w:p>
        </w:tc>
        <w:tc>
          <w:tcPr>
            <w:vAlign w:val="center"/>
          </w:tcPr>
          <w:p w:rsidR="00000000" w:rsidDel="00000000" w:rsidP="00000000" w:rsidRDefault="00000000" w:rsidRPr="00000000" w14:paraId="000002B7">
            <w:pPr>
              <w:keepNext w:val="0"/>
              <w:keepLines w:val="0"/>
              <w:widowControl w:val="0"/>
              <w:pBdr>
                <w:top w:space="0" w:sz="0" w:val="nil"/>
                <w:left w:space="0" w:sz="0" w:val="nil"/>
                <w:bottom w:space="0" w:sz="0" w:val="nil"/>
                <w:right w:space="0" w:sz="0" w:val="nil"/>
                <w:between w:space="0" w:sz="0" w:val="nil"/>
              </w:pBdr>
              <w:shd w:fill="auto" w:val="clear"/>
              <w:spacing w:after="0" w:before="0" w:line="184" w:lineRule="auto"/>
              <w:ind w:left="0" w:right="1"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SI</w:t>
            </w:r>
          </w:p>
        </w:tc>
        <w:tc>
          <w:tcPr>
            <w:vAlign w:val="center"/>
          </w:tcPr>
          <w:p w:rsidR="00000000" w:rsidDel="00000000" w:rsidP="00000000" w:rsidRDefault="00000000" w:rsidRPr="00000000" w14:paraId="000002B8">
            <w:pPr>
              <w:keepNext w:val="0"/>
              <w:keepLines w:val="0"/>
              <w:widowControl w:val="0"/>
              <w:pBdr>
                <w:top w:space="0" w:sz="0" w:val="nil"/>
                <w:left w:space="0" w:sz="0" w:val="nil"/>
                <w:bottom w:space="0" w:sz="0" w:val="nil"/>
                <w:right w:space="0" w:sz="0" w:val="nil"/>
                <w:between w:space="0" w:sz="0" w:val="nil"/>
              </w:pBdr>
              <w:shd w:fill="auto" w:val="clear"/>
              <w:spacing w:after="0" w:before="0" w:line="184" w:lineRule="auto"/>
              <w:ind w:left="0" w:right="-148"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NO</w:t>
            </w:r>
          </w:p>
        </w:tc>
        <w:tc>
          <w:tcPr>
            <w:vAlign w:val="center"/>
          </w:tcPr>
          <w:p w:rsidR="00000000" w:rsidDel="00000000" w:rsidP="00000000" w:rsidRDefault="00000000" w:rsidRPr="00000000" w14:paraId="000002B9">
            <w:pPr>
              <w:keepNext w:val="0"/>
              <w:keepLines w:val="0"/>
              <w:widowControl w:val="0"/>
              <w:pBdr>
                <w:top w:space="0" w:sz="0" w:val="nil"/>
                <w:left w:space="0" w:sz="0" w:val="nil"/>
                <w:bottom w:space="0" w:sz="0" w:val="nil"/>
                <w:right w:space="0" w:sz="0" w:val="nil"/>
                <w:between w:space="0" w:sz="0" w:val="nil"/>
              </w:pBdr>
              <w:shd w:fill="auto" w:val="clear"/>
              <w:spacing w:after="0" w:before="0" w:line="184" w:lineRule="auto"/>
              <w:ind w:left="0" w:right="0"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NO</w:t>
            </w:r>
          </w:p>
        </w:tc>
      </w:tr>
      <w:tr>
        <w:trPr>
          <w:cantSplit w:val="0"/>
          <w:trHeight w:val="201" w:hRule="atLeast"/>
          <w:tblHeader w:val="0"/>
        </w:trPr>
        <w:tc>
          <w:tcPr>
            <w:vMerge w:val="restart"/>
            <w:vAlign w:val="center"/>
          </w:tcPr>
          <w:p w:rsidR="00000000" w:rsidDel="00000000" w:rsidP="00000000" w:rsidRDefault="00000000" w:rsidRPr="00000000" w14:paraId="000002BA">
            <w:pPr>
              <w:keepNext w:val="0"/>
              <w:keepLines w:val="0"/>
              <w:widowControl w:val="0"/>
              <w:pBdr>
                <w:top w:space="0" w:sz="0" w:val="nil"/>
                <w:left w:space="0" w:sz="0" w:val="nil"/>
                <w:bottom w:space="0" w:sz="0" w:val="nil"/>
                <w:right w:space="0" w:sz="0" w:val="nil"/>
                <w:between w:space="0" w:sz="0" w:val="nil"/>
              </w:pBdr>
              <w:shd w:fill="auto" w:val="clear"/>
              <w:spacing w:after="0" w:before="0" w:line="232" w:lineRule="auto"/>
              <w:ind w:left="57" w:right="3" w:firstLine="0"/>
              <w:jc w:val="center"/>
              <w:rPr>
                <w:rFonts w:ascii="Garamond" w:cs="Garamond" w:eastAsia="Garamond" w:hAnsi="Garamond"/>
                <w:b w:val="1"/>
                <w:bCs w:val="1"/>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1"/>
                <w:bCs w:val="1"/>
                <w:i w:val="0"/>
                <w:iCs w:val="0"/>
                <w:smallCaps w:val="0"/>
                <w:strike w:val="0"/>
                <w:color w:val="000000"/>
                <w:sz w:val="20"/>
                <w:szCs w:val="20"/>
                <w:u w:val="none"/>
                <w:shd w:fill="auto" w:val="clear"/>
                <w:vertAlign w:val="baseline"/>
                <w:rtl w:val="0"/>
              </w:rPr>
              <w:t xml:space="preserve">Triángulo Norte</w:t>
            </w:r>
          </w:p>
        </w:tc>
        <w:tc>
          <w:tcPr>
            <w:vAlign w:val="center"/>
          </w:tcPr>
          <w:p w:rsidR="00000000" w:rsidDel="00000000" w:rsidP="00000000" w:rsidRDefault="00000000" w:rsidRPr="00000000" w14:paraId="000002BB">
            <w:pPr>
              <w:keepNext w:val="0"/>
              <w:keepLines w:val="0"/>
              <w:widowControl w:val="0"/>
              <w:pBdr>
                <w:top w:space="0" w:sz="0" w:val="nil"/>
                <w:left w:space="0" w:sz="0" w:val="nil"/>
                <w:bottom w:space="0" w:sz="0" w:val="nil"/>
                <w:right w:space="0" w:sz="0" w:val="nil"/>
                <w:between w:space="0" w:sz="0" w:val="nil"/>
              </w:pBdr>
              <w:shd w:fill="auto" w:val="clear"/>
              <w:spacing w:after="0" w:before="0" w:line="181" w:lineRule="auto"/>
              <w:ind w:left="55" w:right="0" w:firstLine="0"/>
              <w:jc w:val="center"/>
              <w:rPr>
                <w:rFonts w:ascii="Garamond" w:cs="Garamond" w:eastAsia="Garamond" w:hAnsi="Garamond"/>
                <w:b w:val="1"/>
                <w:bCs w:val="1"/>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1"/>
                <w:bCs w:val="1"/>
                <w:i w:val="0"/>
                <w:iCs w:val="0"/>
                <w:smallCaps w:val="0"/>
                <w:strike w:val="0"/>
                <w:color w:val="000000"/>
                <w:sz w:val="20"/>
                <w:szCs w:val="20"/>
                <w:u w:val="none"/>
                <w:shd w:fill="auto" w:val="clear"/>
                <w:vertAlign w:val="baseline"/>
                <w:rtl w:val="0"/>
              </w:rPr>
              <w:t xml:space="preserve">El Salvador</w:t>
            </w:r>
          </w:p>
        </w:tc>
        <w:tc>
          <w:tcPr>
            <w:vAlign w:val="center"/>
          </w:tcPr>
          <w:p w:rsidR="00000000" w:rsidDel="00000000" w:rsidP="00000000" w:rsidRDefault="00000000" w:rsidRPr="00000000" w14:paraId="000002BC">
            <w:pPr>
              <w:keepNext w:val="0"/>
              <w:keepLines w:val="0"/>
              <w:widowControl w:val="0"/>
              <w:pBdr>
                <w:top w:space="0" w:sz="0" w:val="nil"/>
                <w:left w:space="0" w:sz="0" w:val="nil"/>
                <w:bottom w:space="0" w:sz="0" w:val="nil"/>
                <w:right w:space="0" w:sz="0" w:val="nil"/>
                <w:between w:space="0" w:sz="0" w:val="nil"/>
              </w:pBdr>
              <w:shd w:fill="auto" w:val="clear"/>
              <w:spacing w:after="0" w:before="0" w:line="181" w:lineRule="auto"/>
              <w:ind w:left="323" w:right="315"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SI</w:t>
            </w:r>
          </w:p>
        </w:tc>
        <w:tc>
          <w:tcPr>
            <w:vAlign w:val="center"/>
          </w:tcPr>
          <w:p w:rsidR="00000000" w:rsidDel="00000000" w:rsidP="00000000" w:rsidRDefault="00000000" w:rsidRPr="00000000" w14:paraId="000002BD">
            <w:pPr>
              <w:keepNext w:val="0"/>
              <w:keepLines w:val="0"/>
              <w:widowControl w:val="0"/>
              <w:pBdr>
                <w:top w:space="0" w:sz="0" w:val="nil"/>
                <w:left w:space="0" w:sz="0" w:val="nil"/>
                <w:bottom w:space="0" w:sz="0" w:val="nil"/>
                <w:right w:space="0" w:sz="0" w:val="nil"/>
                <w:between w:space="0" w:sz="0" w:val="nil"/>
              </w:pBdr>
              <w:shd w:fill="auto" w:val="clear"/>
              <w:spacing w:after="0" w:before="0" w:line="181" w:lineRule="auto"/>
              <w:ind w:left="412" w:right="398"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SI</w:t>
            </w:r>
          </w:p>
        </w:tc>
        <w:tc>
          <w:tcPr>
            <w:vAlign w:val="center"/>
          </w:tcPr>
          <w:p w:rsidR="00000000" w:rsidDel="00000000" w:rsidP="00000000" w:rsidRDefault="00000000" w:rsidRPr="00000000" w14:paraId="000002BE">
            <w:pPr>
              <w:keepNext w:val="0"/>
              <w:keepLines w:val="0"/>
              <w:widowControl w:val="0"/>
              <w:pBdr>
                <w:top w:space="0" w:sz="0" w:val="nil"/>
                <w:left w:space="0" w:sz="0" w:val="nil"/>
                <w:bottom w:space="0" w:sz="0" w:val="nil"/>
                <w:right w:space="0" w:sz="0" w:val="nil"/>
                <w:between w:space="0" w:sz="0" w:val="nil"/>
              </w:pBdr>
              <w:shd w:fill="auto" w:val="clear"/>
              <w:spacing w:after="0" w:before="0" w:line="181" w:lineRule="auto"/>
              <w:ind w:left="0" w:right="1"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SI</w:t>
            </w:r>
          </w:p>
        </w:tc>
        <w:tc>
          <w:tcPr>
            <w:vAlign w:val="center"/>
          </w:tcPr>
          <w:p w:rsidR="00000000" w:rsidDel="00000000" w:rsidP="00000000" w:rsidRDefault="00000000" w:rsidRPr="00000000" w14:paraId="000002BF">
            <w:pPr>
              <w:keepNext w:val="0"/>
              <w:keepLines w:val="0"/>
              <w:widowControl w:val="0"/>
              <w:pBdr>
                <w:top w:space="0" w:sz="0" w:val="nil"/>
                <w:left w:space="0" w:sz="0" w:val="nil"/>
                <w:bottom w:space="0" w:sz="0" w:val="nil"/>
                <w:right w:space="0" w:sz="0" w:val="nil"/>
                <w:between w:space="0" w:sz="0" w:val="nil"/>
              </w:pBdr>
              <w:shd w:fill="auto" w:val="clear"/>
              <w:spacing w:after="0" w:before="0" w:line="181" w:lineRule="auto"/>
              <w:ind w:left="0" w:right="-148"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NO</w:t>
            </w:r>
          </w:p>
        </w:tc>
        <w:tc>
          <w:tcPr>
            <w:vAlign w:val="center"/>
          </w:tcPr>
          <w:p w:rsidR="00000000" w:rsidDel="00000000" w:rsidP="00000000" w:rsidRDefault="00000000" w:rsidRPr="00000000" w14:paraId="000002C0">
            <w:pPr>
              <w:keepNext w:val="0"/>
              <w:keepLines w:val="0"/>
              <w:widowControl w:val="0"/>
              <w:pBdr>
                <w:top w:space="0" w:sz="0" w:val="nil"/>
                <w:left w:space="0" w:sz="0" w:val="nil"/>
                <w:bottom w:space="0" w:sz="0" w:val="nil"/>
                <w:right w:space="0" w:sz="0" w:val="nil"/>
                <w:between w:space="0" w:sz="0" w:val="nil"/>
              </w:pBdr>
              <w:shd w:fill="auto" w:val="clear"/>
              <w:spacing w:after="0" w:before="0" w:line="181" w:lineRule="auto"/>
              <w:ind w:left="0" w:right="0"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SI</w:t>
            </w:r>
          </w:p>
        </w:tc>
      </w:tr>
      <w:tr>
        <w:trPr>
          <w:cantSplit w:val="0"/>
          <w:trHeight w:val="203" w:hRule="atLeast"/>
          <w:tblHeader w:val="0"/>
        </w:trPr>
        <w:tc>
          <w:tcPr>
            <w:vMerge w:val="continue"/>
            <w:vAlign w:val="center"/>
          </w:tcPr>
          <w:p w:rsidR="00000000" w:rsidDel="00000000" w:rsidP="00000000" w:rsidRDefault="00000000" w:rsidRPr="00000000" w14:paraId="000002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tl w:val="0"/>
              </w:rPr>
            </w:r>
          </w:p>
        </w:tc>
        <w:tc>
          <w:tcPr>
            <w:vAlign w:val="center"/>
          </w:tcPr>
          <w:p w:rsidR="00000000" w:rsidDel="00000000" w:rsidP="00000000" w:rsidRDefault="00000000" w:rsidRPr="00000000" w14:paraId="000002C2">
            <w:pPr>
              <w:keepNext w:val="0"/>
              <w:keepLines w:val="0"/>
              <w:widowControl w:val="0"/>
              <w:pBdr>
                <w:top w:space="0" w:sz="0" w:val="nil"/>
                <w:left w:space="0" w:sz="0" w:val="nil"/>
                <w:bottom w:space="0" w:sz="0" w:val="nil"/>
                <w:right w:space="0" w:sz="0" w:val="nil"/>
                <w:between w:space="0" w:sz="0" w:val="nil"/>
              </w:pBdr>
              <w:shd w:fill="auto" w:val="clear"/>
              <w:spacing w:after="0" w:before="0" w:line="184" w:lineRule="auto"/>
              <w:ind w:left="55" w:right="0" w:firstLine="0"/>
              <w:jc w:val="center"/>
              <w:rPr>
                <w:rFonts w:ascii="Garamond" w:cs="Garamond" w:eastAsia="Garamond" w:hAnsi="Garamond"/>
                <w:b w:val="1"/>
                <w:bCs w:val="1"/>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1"/>
                <w:bCs w:val="1"/>
                <w:i w:val="0"/>
                <w:iCs w:val="0"/>
                <w:smallCaps w:val="0"/>
                <w:strike w:val="0"/>
                <w:color w:val="000000"/>
                <w:sz w:val="20"/>
                <w:szCs w:val="20"/>
                <w:u w:val="none"/>
                <w:shd w:fill="auto" w:val="clear"/>
                <w:vertAlign w:val="baseline"/>
                <w:rtl w:val="0"/>
              </w:rPr>
              <w:t xml:space="preserve">Guatemala</w:t>
            </w:r>
          </w:p>
        </w:tc>
        <w:tc>
          <w:tcPr>
            <w:vAlign w:val="center"/>
          </w:tcPr>
          <w:p w:rsidR="00000000" w:rsidDel="00000000" w:rsidP="00000000" w:rsidRDefault="00000000" w:rsidRPr="00000000" w14:paraId="000002C3">
            <w:pPr>
              <w:keepNext w:val="0"/>
              <w:keepLines w:val="0"/>
              <w:widowControl w:val="0"/>
              <w:pBdr>
                <w:top w:space="0" w:sz="0" w:val="nil"/>
                <w:left w:space="0" w:sz="0" w:val="nil"/>
                <w:bottom w:space="0" w:sz="0" w:val="nil"/>
                <w:right w:space="0" w:sz="0" w:val="nil"/>
                <w:between w:space="0" w:sz="0" w:val="nil"/>
              </w:pBdr>
              <w:shd w:fill="auto" w:val="clear"/>
              <w:spacing w:after="0" w:before="0" w:line="184" w:lineRule="auto"/>
              <w:ind w:left="323" w:right="315"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SI</w:t>
            </w:r>
          </w:p>
        </w:tc>
        <w:tc>
          <w:tcPr>
            <w:vAlign w:val="center"/>
          </w:tcPr>
          <w:p w:rsidR="00000000" w:rsidDel="00000000" w:rsidP="00000000" w:rsidRDefault="00000000" w:rsidRPr="00000000" w14:paraId="000002C4">
            <w:pPr>
              <w:keepNext w:val="0"/>
              <w:keepLines w:val="0"/>
              <w:widowControl w:val="0"/>
              <w:pBdr>
                <w:top w:space="0" w:sz="0" w:val="nil"/>
                <w:left w:space="0" w:sz="0" w:val="nil"/>
                <w:bottom w:space="0" w:sz="0" w:val="nil"/>
                <w:right w:space="0" w:sz="0" w:val="nil"/>
                <w:between w:space="0" w:sz="0" w:val="nil"/>
              </w:pBdr>
              <w:shd w:fill="auto" w:val="clear"/>
              <w:spacing w:after="0" w:before="0" w:line="184" w:lineRule="auto"/>
              <w:ind w:left="412" w:right="398"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SI</w:t>
            </w:r>
          </w:p>
        </w:tc>
        <w:tc>
          <w:tcPr>
            <w:vAlign w:val="center"/>
          </w:tcPr>
          <w:p w:rsidR="00000000" w:rsidDel="00000000" w:rsidP="00000000" w:rsidRDefault="00000000" w:rsidRPr="00000000" w14:paraId="000002C5">
            <w:pPr>
              <w:keepNext w:val="0"/>
              <w:keepLines w:val="0"/>
              <w:widowControl w:val="0"/>
              <w:pBdr>
                <w:top w:space="0" w:sz="0" w:val="nil"/>
                <w:left w:space="0" w:sz="0" w:val="nil"/>
                <w:bottom w:space="0" w:sz="0" w:val="nil"/>
                <w:right w:space="0" w:sz="0" w:val="nil"/>
                <w:between w:space="0" w:sz="0" w:val="nil"/>
              </w:pBdr>
              <w:shd w:fill="auto" w:val="clear"/>
              <w:spacing w:after="0" w:before="0" w:line="184" w:lineRule="auto"/>
              <w:ind w:left="0" w:right="1"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SI</w:t>
            </w:r>
          </w:p>
        </w:tc>
        <w:tc>
          <w:tcPr>
            <w:vAlign w:val="center"/>
          </w:tcPr>
          <w:p w:rsidR="00000000" w:rsidDel="00000000" w:rsidP="00000000" w:rsidRDefault="00000000" w:rsidRPr="00000000" w14:paraId="000002C6">
            <w:pPr>
              <w:keepNext w:val="0"/>
              <w:keepLines w:val="0"/>
              <w:widowControl w:val="0"/>
              <w:pBdr>
                <w:top w:space="0" w:sz="0" w:val="nil"/>
                <w:left w:space="0" w:sz="0" w:val="nil"/>
                <w:bottom w:space="0" w:sz="0" w:val="nil"/>
                <w:right w:space="0" w:sz="0" w:val="nil"/>
                <w:between w:space="0" w:sz="0" w:val="nil"/>
              </w:pBdr>
              <w:shd w:fill="auto" w:val="clear"/>
              <w:spacing w:after="0" w:before="0" w:line="184" w:lineRule="auto"/>
              <w:ind w:left="0" w:right="-148"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NO</w:t>
            </w:r>
          </w:p>
        </w:tc>
        <w:tc>
          <w:tcPr>
            <w:vAlign w:val="center"/>
          </w:tcPr>
          <w:p w:rsidR="00000000" w:rsidDel="00000000" w:rsidP="00000000" w:rsidRDefault="00000000" w:rsidRPr="00000000" w14:paraId="000002C7">
            <w:pPr>
              <w:keepNext w:val="0"/>
              <w:keepLines w:val="0"/>
              <w:widowControl w:val="0"/>
              <w:pBdr>
                <w:top w:space="0" w:sz="0" w:val="nil"/>
                <w:left w:space="0" w:sz="0" w:val="nil"/>
                <w:bottom w:space="0" w:sz="0" w:val="nil"/>
                <w:right w:space="0" w:sz="0" w:val="nil"/>
                <w:between w:space="0" w:sz="0" w:val="nil"/>
              </w:pBdr>
              <w:shd w:fill="auto" w:val="clear"/>
              <w:spacing w:after="0" w:before="0" w:line="184" w:lineRule="auto"/>
              <w:ind w:left="0" w:right="0"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SI</w:t>
            </w:r>
          </w:p>
        </w:tc>
      </w:tr>
      <w:tr>
        <w:trPr>
          <w:cantSplit w:val="0"/>
          <w:trHeight w:val="201" w:hRule="atLeast"/>
          <w:tblHeader w:val="0"/>
        </w:trPr>
        <w:tc>
          <w:tcPr>
            <w:vMerge w:val="continue"/>
            <w:vAlign w:val="center"/>
          </w:tcPr>
          <w:p w:rsidR="00000000" w:rsidDel="00000000" w:rsidP="00000000" w:rsidRDefault="00000000" w:rsidRPr="00000000" w14:paraId="000002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tl w:val="0"/>
              </w:rPr>
            </w:r>
          </w:p>
        </w:tc>
        <w:tc>
          <w:tcPr>
            <w:vAlign w:val="center"/>
          </w:tcPr>
          <w:p w:rsidR="00000000" w:rsidDel="00000000" w:rsidP="00000000" w:rsidRDefault="00000000" w:rsidRPr="00000000" w14:paraId="000002C9">
            <w:pPr>
              <w:keepNext w:val="0"/>
              <w:keepLines w:val="0"/>
              <w:widowControl w:val="0"/>
              <w:pBdr>
                <w:top w:space="0" w:sz="0" w:val="nil"/>
                <w:left w:space="0" w:sz="0" w:val="nil"/>
                <w:bottom w:space="0" w:sz="0" w:val="nil"/>
                <w:right w:space="0" w:sz="0" w:val="nil"/>
                <w:between w:space="0" w:sz="0" w:val="nil"/>
              </w:pBdr>
              <w:shd w:fill="auto" w:val="clear"/>
              <w:spacing w:after="0" w:before="0" w:line="182" w:lineRule="auto"/>
              <w:ind w:left="55" w:right="0" w:firstLine="0"/>
              <w:jc w:val="center"/>
              <w:rPr>
                <w:rFonts w:ascii="Garamond" w:cs="Garamond" w:eastAsia="Garamond" w:hAnsi="Garamond"/>
                <w:b w:val="1"/>
                <w:bCs w:val="1"/>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1"/>
                <w:bCs w:val="1"/>
                <w:i w:val="0"/>
                <w:iCs w:val="0"/>
                <w:smallCaps w:val="0"/>
                <w:strike w:val="0"/>
                <w:color w:val="000000"/>
                <w:sz w:val="20"/>
                <w:szCs w:val="20"/>
                <w:u w:val="none"/>
                <w:shd w:fill="auto" w:val="clear"/>
                <w:vertAlign w:val="baseline"/>
                <w:rtl w:val="0"/>
              </w:rPr>
              <w:t xml:space="preserve">Honduras</w:t>
            </w:r>
          </w:p>
        </w:tc>
        <w:tc>
          <w:tcPr>
            <w:vAlign w:val="center"/>
          </w:tcPr>
          <w:p w:rsidR="00000000" w:rsidDel="00000000" w:rsidP="00000000" w:rsidRDefault="00000000" w:rsidRPr="00000000" w14:paraId="000002CA">
            <w:pPr>
              <w:keepNext w:val="0"/>
              <w:keepLines w:val="0"/>
              <w:widowControl w:val="0"/>
              <w:pBdr>
                <w:top w:space="0" w:sz="0" w:val="nil"/>
                <w:left w:space="0" w:sz="0" w:val="nil"/>
                <w:bottom w:space="0" w:sz="0" w:val="nil"/>
                <w:right w:space="0" w:sz="0" w:val="nil"/>
                <w:between w:space="0" w:sz="0" w:val="nil"/>
              </w:pBdr>
              <w:shd w:fill="auto" w:val="clear"/>
              <w:spacing w:after="0" w:before="0" w:line="182" w:lineRule="auto"/>
              <w:ind w:left="323" w:right="315"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SI</w:t>
            </w:r>
          </w:p>
        </w:tc>
        <w:tc>
          <w:tcPr>
            <w:vAlign w:val="center"/>
          </w:tcPr>
          <w:p w:rsidR="00000000" w:rsidDel="00000000" w:rsidP="00000000" w:rsidRDefault="00000000" w:rsidRPr="00000000" w14:paraId="000002CB">
            <w:pPr>
              <w:keepNext w:val="0"/>
              <w:keepLines w:val="0"/>
              <w:widowControl w:val="0"/>
              <w:pBdr>
                <w:top w:space="0" w:sz="0" w:val="nil"/>
                <w:left w:space="0" w:sz="0" w:val="nil"/>
                <w:bottom w:space="0" w:sz="0" w:val="nil"/>
                <w:right w:space="0" w:sz="0" w:val="nil"/>
                <w:between w:space="0" w:sz="0" w:val="nil"/>
              </w:pBdr>
              <w:shd w:fill="auto" w:val="clear"/>
              <w:spacing w:after="0" w:before="0" w:line="182" w:lineRule="auto"/>
              <w:ind w:left="412" w:right="398"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NO</w:t>
            </w:r>
          </w:p>
        </w:tc>
        <w:tc>
          <w:tcPr>
            <w:vAlign w:val="center"/>
          </w:tcPr>
          <w:p w:rsidR="00000000" w:rsidDel="00000000" w:rsidP="00000000" w:rsidRDefault="00000000" w:rsidRPr="00000000" w14:paraId="000002CC">
            <w:pPr>
              <w:keepNext w:val="0"/>
              <w:keepLines w:val="0"/>
              <w:widowControl w:val="0"/>
              <w:pBdr>
                <w:top w:space="0" w:sz="0" w:val="nil"/>
                <w:left w:space="0" w:sz="0" w:val="nil"/>
                <w:bottom w:space="0" w:sz="0" w:val="nil"/>
                <w:right w:space="0" w:sz="0" w:val="nil"/>
                <w:between w:space="0" w:sz="0" w:val="nil"/>
              </w:pBdr>
              <w:shd w:fill="auto" w:val="clear"/>
              <w:spacing w:after="0" w:before="0" w:line="182" w:lineRule="auto"/>
              <w:ind w:left="0" w:right="1"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SI</w:t>
            </w:r>
          </w:p>
        </w:tc>
        <w:tc>
          <w:tcPr>
            <w:vAlign w:val="center"/>
          </w:tcPr>
          <w:p w:rsidR="00000000" w:rsidDel="00000000" w:rsidP="00000000" w:rsidRDefault="00000000" w:rsidRPr="00000000" w14:paraId="000002CD">
            <w:pPr>
              <w:keepNext w:val="0"/>
              <w:keepLines w:val="0"/>
              <w:widowControl w:val="0"/>
              <w:pBdr>
                <w:top w:space="0" w:sz="0" w:val="nil"/>
                <w:left w:space="0" w:sz="0" w:val="nil"/>
                <w:bottom w:space="0" w:sz="0" w:val="nil"/>
                <w:right w:space="0" w:sz="0" w:val="nil"/>
                <w:between w:space="0" w:sz="0" w:val="nil"/>
              </w:pBdr>
              <w:shd w:fill="auto" w:val="clear"/>
              <w:spacing w:after="0" w:before="0" w:line="182" w:lineRule="auto"/>
              <w:ind w:left="0" w:right="-148"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NO</w:t>
            </w:r>
          </w:p>
        </w:tc>
        <w:tc>
          <w:tcPr>
            <w:vAlign w:val="center"/>
          </w:tcPr>
          <w:p w:rsidR="00000000" w:rsidDel="00000000" w:rsidP="00000000" w:rsidRDefault="00000000" w:rsidRPr="00000000" w14:paraId="000002CE">
            <w:pPr>
              <w:keepNext w:val="0"/>
              <w:keepLines w:val="0"/>
              <w:widowControl w:val="0"/>
              <w:pBdr>
                <w:top w:space="0" w:sz="0" w:val="nil"/>
                <w:left w:space="0" w:sz="0" w:val="nil"/>
                <w:bottom w:space="0" w:sz="0" w:val="nil"/>
                <w:right w:space="0" w:sz="0" w:val="nil"/>
                <w:between w:space="0" w:sz="0" w:val="nil"/>
              </w:pBdr>
              <w:shd w:fill="auto" w:val="clear"/>
              <w:spacing w:after="0" w:before="0" w:line="182" w:lineRule="auto"/>
              <w:ind w:left="0" w:right="0"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NO</w:t>
            </w:r>
          </w:p>
        </w:tc>
      </w:tr>
      <w:tr>
        <w:trPr>
          <w:cantSplit w:val="0"/>
          <w:trHeight w:val="203" w:hRule="atLeast"/>
          <w:tblHeader w:val="0"/>
        </w:trPr>
        <w:tc>
          <w:tcPr>
            <w:vAlign w:val="center"/>
          </w:tcPr>
          <w:p w:rsidR="00000000" w:rsidDel="00000000" w:rsidP="00000000" w:rsidRDefault="00000000" w:rsidRPr="00000000" w14:paraId="000002CF">
            <w:pPr>
              <w:keepNext w:val="0"/>
              <w:keepLines w:val="0"/>
              <w:widowControl w:val="0"/>
              <w:pBdr>
                <w:top w:space="0" w:sz="0" w:val="nil"/>
                <w:left w:space="0" w:sz="0" w:val="nil"/>
                <w:bottom w:space="0" w:sz="0" w:val="nil"/>
                <w:right w:space="0" w:sz="0" w:val="nil"/>
                <w:between w:space="0" w:sz="0" w:val="nil"/>
              </w:pBdr>
              <w:shd w:fill="auto" w:val="clear"/>
              <w:spacing w:after="0" w:before="0" w:line="184" w:lineRule="auto"/>
              <w:ind w:left="57" w:right="0" w:firstLine="0"/>
              <w:jc w:val="center"/>
              <w:rPr>
                <w:rFonts w:ascii="Garamond" w:cs="Garamond" w:eastAsia="Garamond" w:hAnsi="Garamond"/>
                <w:b w:val="1"/>
                <w:bCs w:val="1"/>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1"/>
                <w:bCs w:val="1"/>
                <w:i w:val="0"/>
                <w:iCs w:val="0"/>
                <w:smallCaps w:val="0"/>
                <w:strike w:val="0"/>
                <w:color w:val="000000"/>
                <w:sz w:val="20"/>
                <w:szCs w:val="20"/>
                <w:u w:val="none"/>
                <w:shd w:fill="auto" w:val="clear"/>
                <w:vertAlign w:val="baseline"/>
                <w:rtl w:val="0"/>
              </w:rPr>
              <w:t xml:space="preserve">Unión Europea</w:t>
            </w:r>
          </w:p>
        </w:tc>
        <w:tc>
          <w:tcPr>
            <w:vAlign w:val="center"/>
          </w:tcPr>
          <w:p w:rsidR="00000000" w:rsidDel="00000000" w:rsidP="00000000" w:rsidRDefault="00000000" w:rsidRPr="00000000" w14:paraId="000002D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Garamond" w:cs="Garamond" w:eastAsia="Garamond" w:hAnsi="Garamond"/>
                <w:b w:val="1"/>
                <w:bCs w:val="1"/>
                <w:i w:val="0"/>
                <w:iCs w:val="0"/>
                <w:smallCaps w:val="0"/>
                <w:strike w:val="0"/>
                <w:color w:val="000000"/>
                <w:sz w:val="20"/>
                <w:szCs w:val="20"/>
                <w:u w:val="none"/>
                <w:shd w:fill="auto" w:val="clear"/>
                <w:vertAlign w:val="baseline"/>
              </w:rPr>
            </w:pPr>
            <w:r w:rsidDel="00000000" w:rsidR="00000000" w:rsidRPr="00000000">
              <w:rPr>
                <w:rtl w:val="0"/>
              </w:rPr>
            </w:r>
          </w:p>
        </w:tc>
        <w:tc>
          <w:tcPr>
            <w:vAlign w:val="center"/>
          </w:tcPr>
          <w:p w:rsidR="00000000" w:rsidDel="00000000" w:rsidP="00000000" w:rsidRDefault="00000000" w:rsidRPr="00000000" w14:paraId="000002D1">
            <w:pPr>
              <w:keepNext w:val="0"/>
              <w:keepLines w:val="0"/>
              <w:widowControl w:val="0"/>
              <w:pBdr>
                <w:top w:space="0" w:sz="0" w:val="nil"/>
                <w:left w:space="0" w:sz="0" w:val="nil"/>
                <w:bottom w:space="0" w:sz="0" w:val="nil"/>
                <w:right w:space="0" w:sz="0" w:val="nil"/>
                <w:between w:space="0" w:sz="0" w:val="nil"/>
              </w:pBdr>
              <w:shd w:fill="auto" w:val="clear"/>
              <w:spacing w:after="0" w:before="0" w:line="184" w:lineRule="auto"/>
              <w:ind w:left="323" w:right="315"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SI</w:t>
            </w:r>
          </w:p>
        </w:tc>
        <w:tc>
          <w:tcPr>
            <w:vAlign w:val="center"/>
          </w:tcPr>
          <w:p w:rsidR="00000000" w:rsidDel="00000000" w:rsidP="00000000" w:rsidRDefault="00000000" w:rsidRPr="00000000" w14:paraId="000002D2">
            <w:pPr>
              <w:keepNext w:val="0"/>
              <w:keepLines w:val="0"/>
              <w:widowControl w:val="0"/>
              <w:pBdr>
                <w:top w:space="0" w:sz="0" w:val="nil"/>
                <w:left w:space="0" w:sz="0" w:val="nil"/>
                <w:bottom w:space="0" w:sz="0" w:val="nil"/>
                <w:right w:space="0" w:sz="0" w:val="nil"/>
                <w:between w:space="0" w:sz="0" w:val="nil"/>
              </w:pBdr>
              <w:shd w:fill="auto" w:val="clear"/>
              <w:spacing w:after="0" w:before="0" w:line="184" w:lineRule="auto"/>
              <w:ind w:left="412" w:right="398"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NO</w:t>
            </w:r>
          </w:p>
        </w:tc>
        <w:tc>
          <w:tcPr>
            <w:vAlign w:val="center"/>
          </w:tcPr>
          <w:p w:rsidR="00000000" w:rsidDel="00000000" w:rsidP="00000000" w:rsidRDefault="00000000" w:rsidRPr="00000000" w14:paraId="000002D3">
            <w:pPr>
              <w:keepNext w:val="0"/>
              <w:keepLines w:val="0"/>
              <w:widowControl w:val="0"/>
              <w:pBdr>
                <w:top w:space="0" w:sz="0" w:val="nil"/>
                <w:left w:space="0" w:sz="0" w:val="nil"/>
                <w:bottom w:space="0" w:sz="0" w:val="nil"/>
                <w:right w:space="0" w:sz="0" w:val="nil"/>
                <w:between w:space="0" w:sz="0" w:val="nil"/>
              </w:pBdr>
              <w:shd w:fill="auto" w:val="clear"/>
              <w:spacing w:after="0" w:before="0" w:line="184" w:lineRule="auto"/>
              <w:ind w:left="0" w:right="1"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NO</w:t>
            </w:r>
          </w:p>
        </w:tc>
        <w:tc>
          <w:tcPr>
            <w:vAlign w:val="center"/>
          </w:tcPr>
          <w:p w:rsidR="00000000" w:rsidDel="00000000" w:rsidP="00000000" w:rsidRDefault="00000000" w:rsidRPr="00000000" w14:paraId="000002D4">
            <w:pPr>
              <w:keepNext w:val="0"/>
              <w:keepLines w:val="0"/>
              <w:widowControl w:val="0"/>
              <w:pBdr>
                <w:top w:space="0" w:sz="0" w:val="nil"/>
                <w:left w:space="0" w:sz="0" w:val="nil"/>
                <w:bottom w:space="0" w:sz="0" w:val="nil"/>
                <w:right w:space="0" w:sz="0" w:val="nil"/>
                <w:between w:space="0" w:sz="0" w:val="nil"/>
              </w:pBdr>
              <w:shd w:fill="auto" w:val="clear"/>
              <w:spacing w:after="0" w:before="0" w:line="184" w:lineRule="auto"/>
              <w:ind w:left="0" w:right="-148"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NO</w:t>
            </w:r>
          </w:p>
        </w:tc>
        <w:tc>
          <w:tcPr>
            <w:vAlign w:val="center"/>
          </w:tcPr>
          <w:p w:rsidR="00000000" w:rsidDel="00000000" w:rsidP="00000000" w:rsidRDefault="00000000" w:rsidRPr="00000000" w14:paraId="000002D5">
            <w:pPr>
              <w:keepNext w:val="0"/>
              <w:keepLines w:val="0"/>
              <w:widowControl w:val="0"/>
              <w:pBdr>
                <w:top w:space="0" w:sz="0" w:val="nil"/>
                <w:left w:space="0" w:sz="0" w:val="nil"/>
                <w:bottom w:space="0" w:sz="0" w:val="nil"/>
                <w:right w:space="0" w:sz="0" w:val="nil"/>
                <w:between w:space="0" w:sz="0" w:val="nil"/>
              </w:pBdr>
              <w:shd w:fill="auto" w:val="clear"/>
              <w:spacing w:after="0" w:before="0" w:line="184" w:lineRule="auto"/>
              <w:ind w:left="0" w:right="0"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NO</w:t>
            </w:r>
          </w:p>
        </w:tc>
      </w:tr>
      <w:tr>
        <w:trPr>
          <w:cantSplit w:val="0"/>
          <w:trHeight w:val="203" w:hRule="atLeast"/>
          <w:tblHeader w:val="0"/>
        </w:trPr>
        <w:tc>
          <w:tcPr>
            <w:vAlign w:val="center"/>
          </w:tcPr>
          <w:p w:rsidR="00000000" w:rsidDel="00000000" w:rsidP="00000000" w:rsidRDefault="00000000" w:rsidRPr="00000000" w14:paraId="000002D6">
            <w:pPr>
              <w:keepNext w:val="0"/>
              <w:keepLines w:val="0"/>
              <w:widowControl w:val="0"/>
              <w:pBdr>
                <w:top w:space="0" w:sz="0" w:val="nil"/>
                <w:left w:space="0" w:sz="0" w:val="nil"/>
                <w:bottom w:space="0" w:sz="0" w:val="nil"/>
                <w:right w:space="0" w:sz="0" w:val="nil"/>
                <w:between w:space="0" w:sz="0" w:val="nil"/>
              </w:pBdr>
              <w:shd w:fill="auto" w:val="clear"/>
              <w:spacing w:after="0" w:before="0" w:line="184" w:lineRule="auto"/>
              <w:ind w:left="57" w:right="0" w:firstLine="0"/>
              <w:jc w:val="center"/>
              <w:rPr>
                <w:rFonts w:ascii="Garamond" w:cs="Garamond" w:eastAsia="Garamond" w:hAnsi="Garamond"/>
                <w:b w:val="1"/>
                <w:bCs w:val="1"/>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1"/>
                <w:bCs w:val="1"/>
                <w:i w:val="0"/>
                <w:iCs w:val="0"/>
                <w:smallCaps w:val="0"/>
                <w:strike w:val="0"/>
                <w:color w:val="000000"/>
                <w:sz w:val="20"/>
                <w:szCs w:val="20"/>
                <w:u w:val="none"/>
                <w:shd w:fill="auto" w:val="clear"/>
                <w:vertAlign w:val="baseline"/>
                <w:rtl w:val="0"/>
              </w:rPr>
              <w:t xml:space="preserve">Israel</w:t>
            </w:r>
          </w:p>
        </w:tc>
        <w:tc>
          <w:tcPr>
            <w:vAlign w:val="center"/>
          </w:tcPr>
          <w:p w:rsidR="00000000" w:rsidDel="00000000" w:rsidP="00000000" w:rsidRDefault="00000000" w:rsidRPr="00000000" w14:paraId="000002D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Garamond" w:cs="Garamond" w:eastAsia="Garamond" w:hAnsi="Garamond"/>
                <w:b w:val="1"/>
                <w:bCs w:val="1"/>
                <w:i w:val="0"/>
                <w:iCs w:val="0"/>
                <w:smallCaps w:val="0"/>
                <w:strike w:val="0"/>
                <w:color w:val="000000"/>
                <w:sz w:val="20"/>
                <w:szCs w:val="20"/>
                <w:u w:val="none"/>
                <w:shd w:fill="auto" w:val="clear"/>
                <w:vertAlign w:val="baseline"/>
              </w:rPr>
            </w:pPr>
            <w:r w:rsidDel="00000000" w:rsidR="00000000" w:rsidRPr="00000000">
              <w:rPr>
                <w:rtl w:val="0"/>
              </w:rPr>
            </w:r>
          </w:p>
        </w:tc>
        <w:tc>
          <w:tcPr>
            <w:vAlign w:val="center"/>
          </w:tcPr>
          <w:p w:rsidR="00000000" w:rsidDel="00000000" w:rsidP="00000000" w:rsidRDefault="00000000" w:rsidRPr="00000000" w14:paraId="000002D8">
            <w:pPr>
              <w:keepNext w:val="0"/>
              <w:keepLines w:val="0"/>
              <w:widowControl w:val="0"/>
              <w:pBdr>
                <w:top w:space="0" w:sz="0" w:val="nil"/>
                <w:left w:space="0" w:sz="0" w:val="nil"/>
                <w:bottom w:space="0" w:sz="0" w:val="nil"/>
                <w:right w:space="0" w:sz="0" w:val="nil"/>
                <w:between w:space="0" w:sz="0" w:val="nil"/>
              </w:pBdr>
              <w:shd w:fill="auto" w:val="clear"/>
              <w:spacing w:after="0" w:before="0" w:line="184" w:lineRule="auto"/>
              <w:ind w:left="323" w:right="315"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SI</w:t>
            </w:r>
          </w:p>
        </w:tc>
        <w:tc>
          <w:tcPr>
            <w:vAlign w:val="center"/>
          </w:tcPr>
          <w:p w:rsidR="00000000" w:rsidDel="00000000" w:rsidP="00000000" w:rsidRDefault="00000000" w:rsidRPr="00000000" w14:paraId="000002D9">
            <w:pPr>
              <w:keepNext w:val="0"/>
              <w:keepLines w:val="0"/>
              <w:widowControl w:val="0"/>
              <w:pBdr>
                <w:top w:space="0" w:sz="0" w:val="nil"/>
                <w:left w:space="0" w:sz="0" w:val="nil"/>
                <w:bottom w:space="0" w:sz="0" w:val="nil"/>
                <w:right w:space="0" w:sz="0" w:val="nil"/>
                <w:between w:space="0" w:sz="0" w:val="nil"/>
              </w:pBdr>
              <w:shd w:fill="auto" w:val="clear"/>
              <w:spacing w:after="0" w:before="0" w:line="184" w:lineRule="auto"/>
              <w:ind w:left="412" w:right="398"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SI</w:t>
            </w:r>
          </w:p>
        </w:tc>
        <w:tc>
          <w:tcPr>
            <w:vAlign w:val="center"/>
          </w:tcPr>
          <w:p w:rsidR="00000000" w:rsidDel="00000000" w:rsidP="00000000" w:rsidRDefault="00000000" w:rsidRPr="00000000" w14:paraId="000002DA">
            <w:pPr>
              <w:keepNext w:val="0"/>
              <w:keepLines w:val="0"/>
              <w:widowControl w:val="0"/>
              <w:pBdr>
                <w:top w:space="0" w:sz="0" w:val="nil"/>
                <w:left w:space="0" w:sz="0" w:val="nil"/>
                <w:bottom w:space="0" w:sz="0" w:val="nil"/>
                <w:right w:space="0" w:sz="0" w:val="nil"/>
                <w:between w:space="0" w:sz="0" w:val="nil"/>
              </w:pBdr>
              <w:shd w:fill="auto" w:val="clear"/>
              <w:spacing w:after="0" w:before="0" w:line="184" w:lineRule="auto"/>
              <w:ind w:left="0" w:right="1"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SI</w:t>
            </w:r>
          </w:p>
        </w:tc>
        <w:tc>
          <w:tcPr>
            <w:vAlign w:val="center"/>
          </w:tcPr>
          <w:p w:rsidR="00000000" w:rsidDel="00000000" w:rsidP="00000000" w:rsidRDefault="00000000" w:rsidRPr="00000000" w14:paraId="000002DB">
            <w:pPr>
              <w:keepNext w:val="0"/>
              <w:keepLines w:val="0"/>
              <w:widowControl w:val="0"/>
              <w:pBdr>
                <w:top w:space="0" w:sz="0" w:val="nil"/>
                <w:left w:space="0" w:sz="0" w:val="nil"/>
                <w:bottom w:space="0" w:sz="0" w:val="nil"/>
                <w:right w:space="0" w:sz="0" w:val="nil"/>
                <w:between w:space="0" w:sz="0" w:val="nil"/>
              </w:pBdr>
              <w:shd w:fill="auto" w:val="clear"/>
              <w:spacing w:after="0" w:before="0" w:line="184" w:lineRule="auto"/>
              <w:ind w:left="0" w:right="-148"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NO</w:t>
            </w:r>
          </w:p>
        </w:tc>
        <w:tc>
          <w:tcPr>
            <w:vAlign w:val="center"/>
          </w:tcPr>
          <w:p w:rsidR="00000000" w:rsidDel="00000000" w:rsidP="00000000" w:rsidRDefault="00000000" w:rsidRPr="00000000" w14:paraId="000002DC">
            <w:pPr>
              <w:keepNext w:val="0"/>
              <w:keepLines w:val="0"/>
              <w:widowControl w:val="0"/>
              <w:pBdr>
                <w:top w:space="0" w:sz="0" w:val="nil"/>
                <w:left w:space="0" w:sz="0" w:val="nil"/>
                <w:bottom w:space="0" w:sz="0" w:val="nil"/>
                <w:right w:space="0" w:sz="0" w:val="nil"/>
                <w:between w:space="0" w:sz="0" w:val="nil"/>
              </w:pBdr>
              <w:shd w:fill="auto" w:val="clear"/>
              <w:spacing w:after="0" w:before="0" w:line="184" w:lineRule="auto"/>
              <w:ind w:left="0" w:right="0"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SI</w:t>
            </w:r>
          </w:p>
        </w:tc>
      </w:tr>
      <w:tr>
        <w:trPr>
          <w:cantSplit w:val="0"/>
          <w:trHeight w:val="402" w:hRule="atLeast"/>
          <w:tblHeader w:val="0"/>
        </w:trPr>
        <w:tc>
          <w:tcPr>
            <w:vAlign w:val="center"/>
          </w:tcPr>
          <w:p w:rsidR="00000000" w:rsidDel="00000000" w:rsidP="00000000" w:rsidRDefault="00000000" w:rsidRPr="00000000" w14:paraId="000002DD">
            <w:pPr>
              <w:keepNext w:val="0"/>
              <w:keepLines w:val="0"/>
              <w:widowControl w:val="0"/>
              <w:pBdr>
                <w:top w:space="0" w:sz="0" w:val="nil"/>
                <w:left w:space="0" w:sz="0" w:val="nil"/>
                <w:bottom w:space="0" w:sz="0" w:val="nil"/>
                <w:right w:space="0" w:sz="0" w:val="nil"/>
                <w:between w:space="0" w:sz="0" w:val="nil"/>
              </w:pBdr>
              <w:shd w:fill="auto" w:val="clear"/>
              <w:spacing w:after="0" w:before="0" w:line="190" w:lineRule="auto"/>
              <w:ind w:left="57" w:right="0" w:firstLine="0"/>
              <w:jc w:val="center"/>
              <w:rPr>
                <w:rFonts w:ascii="Garamond" w:cs="Garamond" w:eastAsia="Garamond" w:hAnsi="Garamond"/>
                <w:b w:val="1"/>
                <w:bCs w:val="1"/>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1"/>
                <w:bCs w:val="1"/>
                <w:i w:val="0"/>
                <w:iCs w:val="0"/>
                <w:smallCaps w:val="0"/>
                <w:strike w:val="0"/>
                <w:color w:val="000000"/>
                <w:sz w:val="20"/>
                <w:szCs w:val="20"/>
                <w:u w:val="none"/>
                <w:shd w:fill="auto" w:val="clear"/>
                <w:vertAlign w:val="baseline"/>
                <w:rtl w:val="0"/>
              </w:rPr>
              <w:t xml:space="preserve">Reino Unido e Irlanda</w:t>
            </w:r>
          </w:p>
          <w:p w:rsidR="00000000" w:rsidDel="00000000" w:rsidP="00000000" w:rsidRDefault="00000000" w:rsidRPr="00000000" w14:paraId="000002DE">
            <w:pPr>
              <w:keepNext w:val="0"/>
              <w:keepLines w:val="0"/>
              <w:widowControl w:val="0"/>
              <w:pBdr>
                <w:top w:space="0" w:sz="0" w:val="nil"/>
                <w:left w:space="0" w:sz="0" w:val="nil"/>
                <w:bottom w:space="0" w:sz="0" w:val="nil"/>
                <w:right w:space="0" w:sz="0" w:val="nil"/>
                <w:between w:space="0" w:sz="0" w:val="nil"/>
              </w:pBdr>
              <w:shd w:fill="auto" w:val="clear"/>
              <w:spacing w:after="0" w:before="0" w:line="193" w:lineRule="auto"/>
              <w:ind w:left="57" w:right="0" w:firstLine="0"/>
              <w:jc w:val="center"/>
              <w:rPr>
                <w:rFonts w:ascii="Garamond" w:cs="Garamond" w:eastAsia="Garamond" w:hAnsi="Garamond"/>
                <w:b w:val="1"/>
                <w:bCs w:val="1"/>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1"/>
                <w:bCs w:val="1"/>
                <w:i w:val="0"/>
                <w:iCs w:val="0"/>
                <w:smallCaps w:val="0"/>
                <w:strike w:val="0"/>
                <w:color w:val="000000"/>
                <w:sz w:val="20"/>
                <w:szCs w:val="20"/>
                <w:u w:val="none"/>
                <w:shd w:fill="auto" w:val="clear"/>
                <w:vertAlign w:val="baseline"/>
                <w:rtl w:val="0"/>
              </w:rPr>
              <w:t xml:space="preserve">del Norte</w:t>
            </w:r>
          </w:p>
        </w:tc>
        <w:tc>
          <w:tcPr>
            <w:vAlign w:val="center"/>
          </w:tcPr>
          <w:p w:rsidR="00000000" w:rsidDel="00000000" w:rsidP="00000000" w:rsidRDefault="00000000" w:rsidRPr="00000000" w14:paraId="000002D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Garamond" w:cs="Garamond" w:eastAsia="Garamond" w:hAnsi="Garamond"/>
                <w:b w:val="1"/>
                <w:bCs w:val="1"/>
                <w:i w:val="0"/>
                <w:iCs w:val="0"/>
                <w:smallCaps w:val="0"/>
                <w:strike w:val="0"/>
                <w:color w:val="000000"/>
                <w:sz w:val="20"/>
                <w:szCs w:val="20"/>
                <w:u w:val="none"/>
                <w:shd w:fill="auto" w:val="clear"/>
                <w:vertAlign w:val="baseline"/>
              </w:rPr>
            </w:pPr>
            <w:r w:rsidDel="00000000" w:rsidR="00000000" w:rsidRPr="00000000">
              <w:rPr>
                <w:rtl w:val="0"/>
              </w:rPr>
            </w:r>
          </w:p>
        </w:tc>
        <w:tc>
          <w:tcPr>
            <w:vAlign w:val="center"/>
          </w:tcPr>
          <w:p w:rsidR="00000000" w:rsidDel="00000000" w:rsidP="00000000" w:rsidRDefault="00000000" w:rsidRPr="00000000" w14:paraId="000002E0">
            <w:pPr>
              <w:keepNext w:val="0"/>
              <w:keepLines w:val="0"/>
              <w:widowControl w:val="0"/>
              <w:pBdr>
                <w:top w:space="0" w:sz="0" w:val="nil"/>
                <w:left w:space="0" w:sz="0" w:val="nil"/>
                <w:bottom w:space="0" w:sz="0" w:val="nil"/>
                <w:right w:space="0" w:sz="0" w:val="nil"/>
                <w:between w:space="0" w:sz="0" w:val="nil"/>
              </w:pBdr>
              <w:shd w:fill="auto" w:val="clear"/>
              <w:spacing w:after="0" w:before="86" w:line="240" w:lineRule="auto"/>
              <w:ind w:left="323" w:right="315"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SI</w:t>
            </w:r>
          </w:p>
        </w:tc>
        <w:tc>
          <w:tcPr>
            <w:vAlign w:val="center"/>
          </w:tcPr>
          <w:p w:rsidR="00000000" w:rsidDel="00000000" w:rsidP="00000000" w:rsidRDefault="00000000" w:rsidRPr="00000000" w14:paraId="000002E1">
            <w:pPr>
              <w:keepNext w:val="0"/>
              <w:keepLines w:val="0"/>
              <w:widowControl w:val="0"/>
              <w:pBdr>
                <w:top w:space="0" w:sz="0" w:val="nil"/>
                <w:left w:space="0" w:sz="0" w:val="nil"/>
                <w:bottom w:space="0" w:sz="0" w:val="nil"/>
                <w:right w:space="0" w:sz="0" w:val="nil"/>
                <w:between w:space="0" w:sz="0" w:val="nil"/>
              </w:pBdr>
              <w:shd w:fill="auto" w:val="clear"/>
              <w:spacing w:after="0" w:before="86" w:line="240" w:lineRule="auto"/>
              <w:ind w:left="412" w:right="398"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NO</w:t>
            </w:r>
          </w:p>
        </w:tc>
        <w:tc>
          <w:tcPr>
            <w:vAlign w:val="center"/>
          </w:tcPr>
          <w:p w:rsidR="00000000" w:rsidDel="00000000" w:rsidP="00000000" w:rsidRDefault="00000000" w:rsidRPr="00000000" w14:paraId="000002E2">
            <w:pPr>
              <w:keepNext w:val="0"/>
              <w:keepLines w:val="0"/>
              <w:widowControl w:val="0"/>
              <w:pBdr>
                <w:top w:space="0" w:sz="0" w:val="nil"/>
                <w:left w:space="0" w:sz="0" w:val="nil"/>
                <w:bottom w:space="0" w:sz="0" w:val="nil"/>
                <w:right w:space="0" w:sz="0" w:val="nil"/>
                <w:between w:space="0" w:sz="0" w:val="nil"/>
              </w:pBdr>
              <w:shd w:fill="auto" w:val="clear"/>
              <w:spacing w:after="0" w:before="86" w:line="240" w:lineRule="auto"/>
              <w:ind w:left="0" w:right="1"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NO</w:t>
            </w:r>
          </w:p>
        </w:tc>
        <w:tc>
          <w:tcPr>
            <w:vAlign w:val="center"/>
          </w:tcPr>
          <w:p w:rsidR="00000000" w:rsidDel="00000000" w:rsidP="00000000" w:rsidRDefault="00000000" w:rsidRPr="00000000" w14:paraId="000002E3">
            <w:pPr>
              <w:keepNext w:val="0"/>
              <w:keepLines w:val="0"/>
              <w:widowControl w:val="0"/>
              <w:pBdr>
                <w:top w:space="0" w:sz="0" w:val="nil"/>
                <w:left w:space="0" w:sz="0" w:val="nil"/>
                <w:bottom w:space="0" w:sz="0" w:val="nil"/>
                <w:right w:space="0" w:sz="0" w:val="nil"/>
                <w:between w:space="0" w:sz="0" w:val="nil"/>
              </w:pBdr>
              <w:shd w:fill="auto" w:val="clear"/>
              <w:spacing w:after="0" w:before="86" w:line="240" w:lineRule="auto"/>
              <w:ind w:left="0" w:right="-148"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NO</w:t>
            </w:r>
          </w:p>
        </w:tc>
        <w:tc>
          <w:tcPr>
            <w:vAlign w:val="center"/>
          </w:tcPr>
          <w:p w:rsidR="00000000" w:rsidDel="00000000" w:rsidP="00000000" w:rsidRDefault="00000000" w:rsidRPr="00000000" w14:paraId="000002E4">
            <w:pPr>
              <w:keepNext w:val="0"/>
              <w:keepLines w:val="0"/>
              <w:widowControl w:val="0"/>
              <w:pBdr>
                <w:top w:space="0" w:sz="0" w:val="nil"/>
                <w:left w:space="0" w:sz="0" w:val="nil"/>
                <w:bottom w:space="0" w:sz="0" w:val="nil"/>
                <w:right w:space="0" w:sz="0" w:val="nil"/>
                <w:between w:space="0" w:sz="0" w:val="nil"/>
              </w:pBdr>
              <w:shd w:fill="auto" w:val="clear"/>
              <w:spacing w:after="0" w:before="86" w:line="240" w:lineRule="auto"/>
              <w:ind w:left="0" w:right="0"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NO</w:t>
            </w:r>
          </w:p>
        </w:tc>
      </w:tr>
      <w:tr>
        <w:trPr>
          <w:cantSplit w:val="0"/>
          <w:trHeight w:val="203" w:hRule="atLeast"/>
          <w:tblHeader w:val="0"/>
        </w:trPr>
        <w:tc>
          <w:tcPr>
            <w:vAlign w:val="center"/>
          </w:tcPr>
          <w:p w:rsidR="00000000" w:rsidDel="00000000" w:rsidP="00000000" w:rsidRDefault="00000000" w:rsidRPr="00000000" w14:paraId="000002E5">
            <w:pPr>
              <w:keepNext w:val="0"/>
              <w:keepLines w:val="0"/>
              <w:widowControl w:val="0"/>
              <w:pBdr>
                <w:top w:space="0" w:sz="0" w:val="nil"/>
                <w:left w:space="0" w:sz="0" w:val="nil"/>
                <w:bottom w:space="0" w:sz="0" w:val="nil"/>
                <w:right w:space="0" w:sz="0" w:val="nil"/>
                <w:between w:space="0" w:sz="0" w:val="nil"/>
              </w:pBdr>
              <w:shd w:fill="auto" w:val="clear"/>
              <w:spacing w:after="0" w:before="0" w:line="184" w:lineRule="auto"/>
              <w:ind w:left="57" w:right="0" w:firstLine="0"/>
              <w:jc w:val="center"/>
              <w:rPr>
                <w:rFonts w:ascii="Garamond" w:cs="Garamond" w:eastAsia="Garamond" w:hAnsi="Garamond"/>
                <w:b w:val="1"/>
                <w:bCs w:val="1"/>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1"/>
                <w:bCs w:val="1"/>
                <w:i w:val="0"/>
                <w:iCs w:val="0"/>
                <w:smallCaps w:val="0"/>
                <w:strike w:val="0"/>
                <w:color w:val="000000"/>
                <w:sz w:val="20"/>
                <w:szCs w:val="20"/>
                <w:u w:val="none"/>
                <w:shd w:fill="auto" w:val="clear"/>
                <w:vertAlign w:val="baseline"/>
                <w:rtl w:val="0"/>
              </w:rPr>
              <w:t xml:space="preserve">Comunidad Andina</w:t>
            </w:r>
          </w:p>
        </w:tc>
        <w:tc>
          <w:tcPr>
            <w:vAlign w:val="center"/>
          </w:tcPr>
          <w:p w:rsidR="00000000" w:rsidDel="00000000" w:rsidP="00000000" w:rsidRDefault="00000000" w:rsidRPr="00000000" w14:paraId="000002E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Garamond" w:cs="Garamond" w:eastAsia="Garamond" w:hAnsi="Garamond"/>
                <w:b w:val="1"/>
                <w:bCs w:val="1"/>
                <w:i w:val="0"/>
                <w:iCs w:val="0"/>
                <w:smallCaps w:val="0"/>
                <w:strike w:val="0"/>
                <w:color w:val="000000"/>
                <w:sz w:val="20"/>
                <w:szCs w:val="20"/>
                <w:u w:val="none"/>
                <w:shd w:fill="auto" w:val="clear"/>
                <w:vertAlign w:val="baseline"/>
              </w:rPr>
            </w:pPr>
            <w:r w:rsidDel="00000000" w:rsidR="00000000" w:rsidRPr="00000000">
              <w:rPr>
                <w:rtl w:val="0"/>
              </w:rPr>
            </w:r>
          </w:p>
        </w:tc>
        <w:tc>
          <w:tcPr>
            <w:vAlign w:val="center"/>
          </w:tcPr>
          <w:p w:rsidR="00000000" w:rsidDel="00000000" w:rsidP="00000000" w:rsidRDefault="00000000" w:rsidRPr="00000000" w14:paraId="000002E7">
            <w:pPr>
              <w:keepNext w:val="0"/>
              <w:keepLines w:val="0"/>
              <w:widowControl w:val="0"/>
              <w:pBdr>
                <w:top w:space="0" w:sz="0" w:val="nil"/>
                <w:left w:space="0" w:sz="0" w:val="nil"/>
                <w:bottom w:space="0" w:sz="0" w:val="nil"/>
                <w:right w:space="0" w:sz="0" w:val="nil"/>
                <w:between w:space="0" w:sz="0" w:val="nil"/>
              </w:pBdr>
              <w:shd w:fill="auto" w:val="clear"/>
              <w:spacing w:after="0" w:before="0" w:line="184" w:lineRule="auto"/>
              <w:ind w:left="323" w:right="315"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SI</w:t>
            </w:r>
          </w:p>
        </w:tc>
        <w:tc>
          <w:tcPr>
            <w:vAlign w:val="center"/>
          </w:tcPr>
          <w:p w:rsidR="00000000" w:rsidDel="00000000" w:rsidP="00000000" w:rsidRDefault="00000000" w:rsidRPr="00000000" w14:paraId="000002E8">
            <w:pPr>
              <w:keepNext w:val="0"/>
              <w:keepLines w:val="0"/>
              <w:widowControl w:val="0"/>
              <w:pBdr>
                <w:top w:space="0" w:sz="0" w:val="nil"/>
                <w:left w:space="0" w:sz="0" w:val="nil"/>
                <w:bottom w:space="0" w:sz="0" w:val="nil"/>
                <w:right w:space="0" w:sz="0" w:val="nil"/>
                <w:between w:space="0" w:sz="0" w:val="nil"/>
              </w:pBdr>
              <w:shd w:fill="auto" w:val="clear"/>
              <w:spacing w:after="0" w:before="0" w:line="184" w:lineRule="auto"/>
              <w:ind w:left="412" w:right="398"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SI</w:t>
            </w:r>
          </w:p>
        </w:tc>
        <w:tc>
          <w:tcPr>
            <w:vAlign w:val="center"/>
          </w:tcPr>
          <w:p w:rsidR="00000000" w:rsidDel="00000000" w:rsidP="00000000" w:rsidRDefault="00000000" w:rsidRPr="00000000" w14:paraId="000002E9">
            <w:pPr>
              <w:keepNext w:val="0"/>
              <w:keepLines w:val="0"/>
              <w:widowControl w:val="0"/>
              <w:pBdr>
                <w:top w:space="0" w:sz="0" w:val="nil"/>
                <w:left w:space="0" w:sz="0" w:val="nil"/>
                <w:bottom w:space="0" w:sz="0" w:val="nil"/>
                <w:right w:space="0" w:sz="0" w:val="nil"/>
                <w:between w:space="0" w:sz="0" w:val="nil"/>
              </w:pBdr>
              <w:shd w:fill="auto" w:val="clear"/>
              <w:spacing w:after="0" w:before="0" w:line="184" w:lineRule="auto"/>
              <w:ind w:left="0" w:right="1"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SI</w:t>
            </w:r>
          </w:p>
        </w:tc>
        <w:tc>
          <w:tcPr>
            <w:vAlign w:val="center"/>
          </w:tcPr>
          <w:p w:rsidR="00000000" w:rsidDel="00000000" w:rsidP="00000000" w:rsidRDefault="00000000" w:rsidRPr="00000000" w14:paraId="000002EA">
            <w:pPr>
              <w:keepNext w:val="0"/>
              <w:keepLines w:val="0"/>
              <w:widowControl w:val="0"/>
              <w:pBdr>
                <w:top w:space="0" w:sz="0" w:val="nil"/>
                <w:left w:space="0" w:sz="0" w:val="nil"/>
                <w:bottom w:space="0" w:sz="0" w:val="nil"/>
                <w:right w:space="0" w:sz="0" w:val="nil"/>
                <w:between w:space="0" w:sz="0" w:val="nil"/>
              </w:pBdr>
              <w:shd w:fill="auto" w:val="clear"/>
              <w:spacing w:after="0" w:before="0" w:line="184" w:lineRule="auto"/>
              <w:ind w:left="0" w:right="-6"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SI</w:t>
            </w:r>
          </w:p>
        </w:tc>
        <w:tc>
          <w:tcPr>
            <w:vAlign w:val="center"/>
          </w:tcPr>
          <w:p w:rsidR="00000000" w:rsidDel="00000000" w:rsidP="00000000" w:rsidRDefault="00000000" w:rsidRPr="00000000" w14:paraId="000002EB">
            <w:pPr>
              <w:keepNext w:val="0"/>
              <w:keepLines w:val="0"/>
              <w:widowControl w:val="0"/>
              <w:pBdr>
                <w:top w:space="0" w:sz="0" w:val="nil"/>
                <w:left w:space="0" w:sz="0" w:val="nil"/>
                <w:bottom w:space="0" w:sz="0" w:val="nil"/>
                <w:right w:space="0" w:sz="0" w:val="nil"/>
                <w:between w:space="0" w:sz="0" w:val="nil"/>
              </w:pBdr>
              <w:shd w:fill="auto" w:val="clear"/>
              <w:spacing w:after="0" w:before="0" w:line="184" w:lineRule="auto"/>
              <w:ind w:left="0" w:right="-34"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SI</w:t>
            </w:r>
          </w:p>
        </w:tc>
      </w:tr>
    </w:tbl>
    <w:p w:rsidR="00000000" w:rsidDel="00000000" w:rsidP="00000000" w:rsidRDefault="00000000" w:rsidRPr="00000000" w14:paraId="000002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La Decisión 439 de 1998 de la Secretaría de la CAN es aplicable a todos los Procesos de Contratación de las Entidades Estatales del nivel municipal obligadas, independientemente del valor del Proceso de Contratación y no tiene excepción.</w:t>
      </w:r>
    </w:p>
    <w:p w:rsidR="00000000" w:rsidDel="00000000" w:rsidP="00000000" w:rsidRDefault="00000000" w:rsidRPr="00000000" w14:paraId="000002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El FDLSC aplicará lo señalado en el artículo 2.2.1.2.4.1.3 del Decreto 1082 de 2015, si hay lugar a ello, dando a los servicios de los Estados con quienes Colombia ha suscrito Acuerdo Comercial, el mismo trato que da a los servicios colombianos.</w:t>
      </w:r>
    </w:p>
    <w:p w:rsidR="00000000" w:rsidDel="00000000" w:rsidP="00000000" w:rsidRDefault="00000000" w:rsidRPr="00000000" w14:paraId="000002F0">
      <w:pPr>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2F1">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Garamond" w:cs="Garamond" w:eastAsia="Garamond" w:hAnsi="Garamond"/>
          <w:b w:val="1"/>
          <w:bCs w:val="1"/>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1"/>
          <w:bCs w:val="1"/>
          <w:i w:val="0"/>
          <w:iCs w:val="0"/>
          <w:smallCaps w:val="0"/>
          <w:strike w:val="0"/>
          <w:color w:val="000000"/>
          <w:sz w:val="24"/>
          <w:szCs w:val="24"/>
          <w:u w:val="none"/>
          <w:shd w:fill="auto" w:val="clear"/>
          <w:vertAlign w:val="baseline"/>
          <w:rtl w:val="0"/>
        </w:rPr>
        <w:t xml:space="preserve">COMPORTAMIENTO DEL GASTO HISTÓRICO</w:t>
      </w:r>
    </w:p>
    <w:p w:rsidR="00000000" w:rsidDel="00000000" w:rsidP="00000000" w:rsidRDefault="00000000" w:rsidRPr="00000000" w14:paraId="000002F2">
      <w:pPr>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2F3">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El Fondo de Desarrollo Local de San Cristóbal FDLSC, y otras entidades distritales han realizado contratos cuyas especificaciones técnicas incluyen </w:t>
      </w:r>
      <w:r w:rsidDel="00000000" w:rsidR="00000000" w:rsidRPr="00000000">
        <w:rPr>
          <w:rFonts w:ascii="Garamond" w:cs="Garamond" w:eastAsia="Garamond" w:hAnsi="Garamond"/>
          <w:b w:val="1"/>
          <w:bCs w:val="1"/>
          <w:highlight w:val="white"/>
          <w:rtl w:val="0"/>
        </w:rPr>
        <w:t xml:space="preserve">“</w:t>
      </w:r>
      <w:r w:rsidDel="00000000" w:rsidR="00000000" w:rsidRPr="00000000">
        <w:rPr>
          <w:rFonts w:ascii="Garamond" w:cs="Garamond" w:eastAsia="Garamond" w:hAnsi="Garamond"/>
          <w:b w:val="1"/>
          <w:bCs w:val="1"/>
          <w:sz w:val="24"/>
          <w:szCs w:val="24"/>
          <w:highlight w:val="white"/>
          <w:rtl w:val="0"/>
        </w:rPr>
        <w:t xml:space="preserve">PRESTACIÓN DE SERVICIOS METODOLÓGICOS, EDUCATIVOS Y LOGISTICOS, DIRIGIDOS AL FORTALECIMIENTO DE LA PARTICIPACIÓN INCIDENTE DE LA LOCALIDAD DE SAN CRISTÓBAL, PARA LA TRANSFORMACIÓN DE LOS GRUPOS JUVENILES, LAS ORGANIZACIONES SOCIALES E INSTANCIAS DE PARTICIPACIÓN, A TRAVÉS DE LA IMPLEMENTACIÓN Y EJECUCIÓN DE INICIATIVAS INNOVADORES QUE PROMUEVAN EL DESARROLLO DE LA LOCALIDAD  GENERANDO IMPACTO SOCIOEDUCATIVO EN EL SECTOR”</w:t>
      </w:r>
      <w:r w:rsidDel="00000000" w:rsidR="00000000" w:rsidRPr="00000000">
        <w:rPr>
          <w:rFonts w:ascii="Garamond" w:cs="Garamond" w:eastAsia="Garamond" w:hAnsi="Garamond"/>
          <w:sz w:val="24"/>
          <w:szCs w:val="24"/>
          <w:rtl w:val="0"/>
        </w:rPr>
        <w:t xml:space="preserve">, a través de las modalidades de selección competitiva, acorde a las necesidades y presupuesto de</w:t>
      </w:r>
      <w:r w:rsidDel="00000000" w:rsidR="00000000" w:rsidRPr="00000000">
        <w:rPr>
          <w:rtl w:val="0"/>
        </w:rPr>
        <w:t xml:space="preserve"> </w:t>
      </w:r>
      <w:r w:rsidDel="00000000" w:rsidR="00000000" w:rsidRPr="00000000">
        <w:rPr>
          <w:rFonts w:ascii="Garamond" w:cs="Garamond" w:eastAsia="Garamond" w:hAnsi="Garamond"/>
          <w:sz w:val="24"/>
          <w:szCs w:val="24"/>
          <w:rtl w:val="0"/>
        </w:rPr>
        <w:t xml:space="preserve">la Entidad, con una empresa privada legalmente constituida, así:                                                       </w:t>
      </w:r>
    </w:p>
    <w:p w:rsidR="00000000" w:rsidDel="00000000" w:rsidP="00000000" w:rsidRDefault="00000000" w:rsidRPr="00000000" w14:paraId="000002F4">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                                          </w:t>
      </w:r>
    </w:p>
    <w:p w:rsidR="00000000" w:rsidDel="00000000" w:rsidP="00000000" w:rsidRDefault="00000000" w:rsidRPr="00000000" w14:paraId="000002F5">
      <w:pPr>
        <w:jc w:val="both"/>
        <w:rPr>
          <w:rFonts w:ascii="Garamond" w:cs="Garamond" w:eastAsia="Garamond" w:hAnsi="Garamond"/>
          <w:sz w:val="24"/>
          <w:szCs w:val="24"/>
        </w:rPr>
      </w:pPr>
      <w:r w:rsidDel="00000000" w:rsidR="00000000" w:rsidRPr="00000000">
        <w:rPr>
          <w:rtl w:val="0"/>
        </w:rPr>
      </w:r>
    </w:p>
    <w:tbl>
      <w:tblPr>
        <w:tblStyle w:val="Table8"/>
        <w:tblW w:w="965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88"/>
        <w:gridCol w:w="4252"/>
        <w:gridCol w:w="1276"/>
        <w:gridCol w:w="1559"/>
        <w:gridCol w:w="1575"/>
        <w:tblGridChange w:id="0">
          <w:tblGrid>
            <w:gridCol w:w="988"/>
            <w:gridCol w:w="4252"/>
            <w:gridCol w:w="1276"/>
            <w:gridCol w:w="1559"/>
            <w:gridCol w:w="1575"/>
          </w:tblGrid>
        </w:tblGridChange>
      </w:tblGrid>
      <w:tr>
        <w:trPr>
          <w:cantSplit w:val="0"/>
          <w:trHeight w:val="288" w:hRule="atLeast"/>
          <w:tblHeader w:val="0"/>
        </w:trPr>
        <w:tc>
          <w:tcPr>
            <w:shd w:fill="d9d9d9" w:val="clear"/>
            <w:vAlign w:val="center"/>
          </w:tcPr>
          <w:p w:rsidR="00000000" w:rsidDel="00000000" w:rsidP="00000000" w:rsidRDefault="00000000" w:rsidRPr="00000000" w14:paraId="000002F6">
            <w:pPr>
              <w:widowControl w:val="1"/>
              <w:rPr>
                <w:rFonts w:ascii="Garamond" w:cs="Garamond" w:eastAsia="Garamond" w:hAnsi="Garamond"/>
                <w:b w:val="1"/>
                <w:bCs w:val="1"/>
                <w:color w:val="000000"/>
                <w:sz w:val="16"/>
                <w:szCs w:val="16"/>
              </w:rPr>
            </w:pPr>
            <w:r w:rsidDel="00000000" w:rsidR="00000000" w:rsidRPr="00000000">
              <w:rPr>
                <w:rFonts w:ascii="Garamond" w:cs="Garamond" w:eastAsia="Garamond" w:hAnsi="Garamond"/>
                <w:b w:val="1"/>
                <w:bCs w:val="1"/>
                <w:color w:val="000000"/>
                <w:sz w:val="16"/>
                <w:szCs w:val="16"/>
                <w:rtl w:val="0"/>
              </w:rPr>
              <w:t xml:space="preserve">Referencia del Contrato</w:t>
            </w:r>
          </w:p>
          <w:p w:rsidR="00000000" w:rsidDel="00000000" w:rsidP="00000000" w:rsidRDefault="00000000" w:rsidRPr="00000000" w14:paraId="000002F7">
            <w:pPr>
              <w:widowControl w:val="1"/>
              <w:rPr>
                <w:rFonts w:ascii="Garamond" w:cs="Garamond" w:eastAsia="Garamond" w:hAnsi="Garamond"/>
                <w:b w:val="1"/>
                <w:bCs w:val="1"/>
                <w:color w:val="000000"/>
                <w:sz w:val="16"/>
                <w:szCs w:val="16"/>
              </w:rPr>
            </w:pPr>
            <w:r w:rsidDel="00000000" w:rsidR="00000000" w:rsidRPr="00000000">
              <w:rPr>
                <w:rtl w:val="0"/>
              </w:rPr>
            </w:r>
          </w:p>
        </w:tc>
        <w:tc>
          <w:tcPr>
            <w:shd w:fill="d9d9d9" w:val="clear"/>
            <w:vAlign w:val="center"/>
          </w:tcPr>
          <w:p w:rsidR="00000000" w:rsidDel="00000000" w:rsidP="00000000" w:rsidRDefault="00000000" w:rsidRPr="00000000" w14:paraId="000002F8">
            <w:pPr>
              <w:widowControl w:val="1"/>
              <w:rPr>
                <w:rFonts w:ascii="Garamond" w:cs="Garamond" w:eastAsia="Garamond" w:hAnsi="Garamond"/>
                <w:b w:val="1"/>
                <w:bCs w:val="1"/>
                <w:color w:val="000000"/>
                <w:sz w:val="16"/>
                <w:szCs w:val="16"/>
              </w:rPr>
            </w:pPr>
            <w:r w:rsidDel="00000000" w:rsidR="00000000" w:rsidRPr="00000000">
              <w:rPr>
                <w:rFonts w:ascii="Garamond" w:cs="Garamond" w:eastAsia="Garamond" w:hAnsi="Garamond"/>
                <w:b w:val="1"/>
                <w:bCs w:val="1"/>
                <w:color w:val="000000"/>
                <w:sz w:val="16"/>
                <w:szCs w:val="16"/>
                <w:rtl w:val="0"/>
              </w:rPr>
              <w:t xml:space="preserve">Descripción del Proceso</w:t>
            </w:r>
          </w:p>
        </w:tc>
        <w:tc>
          <w:tcPr>
            <w:shd w:fill="d9d9d9" w:val="clear"/>
            <w:vAlign w:val="center"/>
          </w:tcPr>
          <w:p w:rsidR="00000000" w:rsidDel="00000000" w:rsidP="00000000" w:rsidRDefault="00000000" w:rsidRPr="00000000" w14:paraId="000002F9">
            <w:pPr>
              <w:widowControl w:val="1"/>
              <w:rPr>
                <w:rFonts w:ascii="Garamond" w:cs="Garamond" w:eastAsia="Garamond" w:hAnsi="Garamond"/>
                <w:b w:val="1"/>
                <w:bCs w:val="1"/>
                <w:color w:val="000000"/>
                <w:sz w:val="16"/>
                <w:szCs w:val="16"/>
              </w:rPr>
            </w:pPr>
            <w:r w:rsidDel="00000000" w:rsidR="00000000" w:rsidRPr="00000000">
              <w:rPr>
                <w:rFonts w:ascii="Garamond" w:cs="Garamond" w:eastAsia="Garamond" w:hAnsi="Garamond"/>
                <w:b w:val="1"/>
                <w:bCs w:val="1"/>
                <w:color w:val="000000"/>
                <w:sz w:val="16"/>
                <w:szCs w:val="16"/>
                <w:rtl w:val="0"/>
              </w:rPr>
              <w:t xml:space="preserve">Tipo de Contrato</w:t>
            </w:r>
          </w:p>
        </w:tc>
        <w:tc>
          <w:tcPr>
            <w:shd w:fill="d9d9d9" w:val="clear"/>
            <w:vAlign w:val="center"/>
          </w:tcPr>
          <w:p w:rsidR="00000000" w:rsidDel="00000000" w:rsidP="00000000" w:rsidRDefault="00000000" w:rsidRPr="00000000" w14:paraId="000002FA">
            <w:pPr>
              <w:widowControl w:val="1"/>
              <w:rPr>
                <w:rFonts w:ascii="Garamond" w:cs="Garamond" w:eastAsia="Garamond" w:hAnsi="Garamond"/>
                <w:b w:val="1"/>
                <w:bCs w:val="1"/>
                <w:color w:val="000000"/>
                <w:sz w:val="16"/>
                <w:szCs w:val="16"/>
              </w:rPr>
            </w:pPr>
            <w:r w:rsidDel="00000000" w:rsidR="00000000" w:rsidRPr="00000000">
              <w:rPr>
                <w:rFonts w:ascii="Garamond" w:cs="Garamond" w:eastAsia="Garamond" w:hAnsi="Garamond"/>
                <w:b w:val="1"/>
                <w:bCs w:val="1"/>
                <w:color w:val="000000"/>
                <w:sz w:val="16"/>
                <w:szCs w:val="16"/>
                <w:rtl w:val="0"/>
              </w:rPr>
              <w:t xml:space="preserve">Modalidad de Contratación</w:t>
            </w:r>
          </w:p>
        </w:tc>
        <w:tc>
          <w:tcPr>
            <w:shd w:fill="d9d9d9" w:val="clear"/>
            <w:vAlign w:val="center"/>
          </w:tcPr>
          <w:p w:rsidR="00000000" w:rsidDel="00000000" w:rsidP="00000000" w:rsidRDefault="00000000" w:rsidRPr="00000000" w14:paraId="000002FB">
            <w:pPr>
              <w:widowControl w:val="1"/>
              <w:rPr>
                <w:rFonts w:ascii="Garamond" w:cs="Garamond" w:eastAsia="Garamond" w:hAnsi="Garamond"/>
                <w:b w:val="1"/>
                <w:bCs w:val="1"/>
                <w:color w:val="000000"/>
                <w:sz w:val="16"/>
                <w:szCs w:val="16"/>
              </w:rPr>
            </w:pPr>
            <w:r w:rsidDel="00000000" w:rsidR="00000000" w:rsidRPr="00000000">
              <w:rPr>
                <w:rFonts w:ascii="Garamond" w:cs="Garamond" w:eastAsia="Garamond" w:hAnsi="Garamond"/>
                <w:b w:val="1"/>
                <w:bCs w:val="1"/>
                <w:color w:val="000000"/>
                <w:sz w:val="16"/>
                <w:szCs w:val="16"/>
                <w:rtl w:val="0"/>
              </w:rPr>
              <w:t xml:space="preserve">Valor del Contrato</w:t>
            </w:r>
          </w:p>
        </w:tc>
      </w:tr>
      <w:tr>
        <w:trPr>
          <w:cantSplit w:val="0"/>
          <w:trHeight w:val="288" w:hRule="atLeast"/>
          <w:tblHeader w:val="0"/>
        </w:trPr>
        <w:tc>
          <w:tcPr>
            <w:vAlign w:val="center"/>
          </w:tcPr>
          <w:p w:rsidR="00000000" w:rsidDel="00000000" w:rsidP="00000000" w:rsidRDefault="00000000" w:rsidRPr="00000000" w14:paraId="000002FC">
            <w:pPr>
              <w:widowControl w:val="1"/>
              <w:rPr>
                <w:rFonts w:ascii="Garamond" w:cs="Garamond" w:eastAsia="Garamond" w:hAnsi="Garamond"/>
                <w:color w:val="000000"/>
                <w:sz w:val="16"/>
                <w:szCs w:val="16"/>
              </w:rPr>
            </w:pPr>
            <w:r w:rsidDel="00000000" w:rsidR="00000000" w:rsidRPr="00000000">
              <w:rPr>
                <w:rFonts w:ascii="Garamond" w:cs="Garamond" w:eastAsia="Garamond" w:hAnsi="Garamond"/>
                <w:sz w:val="17"/>
                <w:szCs w:val="17"/>
                <w:highlight w:val="white"/>
                <w:rtl w:val="0"/>
              </w:rPr>
              <w:t xml:space="preserve">FDLSC-CD-099-2025</w:t>
            </w:r>
            <w:r w:rsidDel="00000000" w:rsidR="00000000" w:rsidRPr="00000000">
              <w:rPr>
                <w:rFonts w:ascii="Garamond" w:cs="Garamond" w:eastAsia="Garamond" w:hAnsi="Garamond"/>
                <w:sz w:val="16"/>
                <w:szCs w:val="16"/>
                <w:rtl w:val="0"/>
              </w:rPr>
              <w:t xml:space="preserve"> </w:t>
            </w:r>
            <w:r w:rsidDel="00000000" w:rsidR="00000000" w:rsidRPr="00000000">
              <w:rPr>
                <w:rtl w:val="0"/>
              </w:rPr>
            </w:r>
          </w:p>
        </w:tc>
        <w:tc>
          <w:tcPr>
            <w:vAlign w:val="center"/>
          </w:tcPr>
          <w:p w:rsidR="00000000" w:rsidDel="00000000" w:rsidP="00000000" w:rsidRDefault="00000000" w:rsidRPr="00000000" w14:paraId="000002FD">
            <w:pPr>
              <w:widowControl w:val="1"/>
              <w:jc w:val="both"/>
              <w:rPr>
                <w:rFonts w:ascii="Garamond" w:cs="Garamond" w:eastAsia="Garamond" w:hAnsi="Garamond"/>
                <w:color w:val="000000"/>
                <w:sz w:val="16"/>
                <w:szCs w:val="16"/>
              </w:rPr>
            </w:pPr>
            <w:r w:rsidDel="00000000" w:rsidR="00000000" w:rsidRPr="00000000">
              <w:rPr>
                <w:rFonts w:ascii="Garamond" w:cs="Garamond" w:eastAsia="Garamond" w:hAnsi="Garamond"/>
                <w:sz w:val="17"/>
                <w:szCs w:val="17"/>
                <w:highlight w:val="white"/>
                <w:rtl w:val="0"/>
              </w:rPr>
              <w:t xml:space="preserve">PRESTAR SUS SERVICIOS TÉCNICOS PARA REALIZAR EL ACOMPAÑAMIENTO ADMINISTRATIVO Y COMUNITARIO DE LAS JUNTAS DE ACCIÓN COMUNAL, INSTANCIAS DE PARTICIPACIÓN, SECTORES POBLACIONALES Y SU INTERLOCUCIÓN CON LA JUNTA ADMINISTRADORA LOCAL DE SAN CRISTÓBAL</w:t>
            </w:r>
            <w:r w:rsidDel="00000000" w:rsidR="00000000" w:rsidRPr="00000000">
              <w:rPr>
                <w:rFonts w:ascii="Garamond" w:cs="Garamond" w:eastAsia="Garamond" w:hAnsi="Garamond"/>
                <w:sz w:val="16"/>
                <w:szCs w:val="16"/>
                <w:rtl w:val="0"/>
              </w:rPr>
              <w:t xml:space="preserve"> </w:t>
            </w:r>
            <w:r w:rsidDel="00000000" w:rsidR="00000000" w:rsidRPr="00000000">
              <w:rPr>
                <w:rtl w:val="0"/>
              </w:rPr>
            </w:r>
          </w:p>
        </w:tc>
        <w:tc>
          <w:tcPr>
            <w:vAlign w:val="center"/>
          </w:tcPr>
          <w:p w:rsidR="00000000" w:rsidDel="00000000" w:rsidP="00000000" w:rsidRDefault="00000000" w:rsidRPr="00000000" w14:paraId="000002FE">
            <w:pPr>
              <w:widowControl w:val="1"/>
              <w:rPr>
                <w:rFonts w:ascii="Garamond" w:cs="Garamond" w:eastAsia="Garamond" w:hAnsi="Garamond"/>
                <w:color w:val="000000"/>
                <w:sz w:val="16"/>
                <w:szCs w:val="16"/>
              </w:rPr>
            </w:pPr>
            <w:r w:rsidDel="00000000" w:rsidR="00000000" w:rsidRPr="00000000">
              <w:rPr>
                <w:rFonts w:ascii="Garamond" w:cs="Garamond" w:eastAsia="Garamond" w:hAnsi="Garamond"/>
                <w:color w:val="000000"/>
                <w:sz w:val="16"/>
                <w:szCs w:val="16"/>
                <w:rtl w:val="0"/>
              </w:rPr>
              <w:t xml:space="preserve">Prestac</w:t>
            </w:r>
            <w:r w:rsidDel="00000000" w:rsidR="00000000" w:rsidRPr="00000000">
              <w:rPr>
                <w:rFonts w:ascii="Garamond" w:cs="Garamond" w:eastAsia="Garamond" w:hAnsi="Garamond"/>
                <w:sz w:val="16"/>
                <w:szCs w:val="16"/>
                <w:rtl w:val="0"/>
              </w:rPr>
              <w:t xml:space="preserve">ió</w:t>
            </w:r>
            <w:r w:rsidDel="00000000" w:rsidR="00000000" w:rsidRPr="00000000">
              <w:rPr>
                <w:rFonts w:ascii="Garamond" w:cs="Garamond" w:eastAsia="Garamond" w:hAnsi="Garamond"/>
                <w:color w:val="000000"/>
                <w:sz w:val="16"/>
                <w:szCs w:val="16"/>
                <w:rtl w:val="0"/>
              </w:rPr>
              <w:t xml:space="preserve">n de servicios</w:t>
            </w:r>
          </w:p>
        </w:tc>
        <w:tc>
          <w:tcPr>
            <w:vAlign w:val="center"/>
          </w:tcPr>
          <w:p w:rsidR="00000000" w:rsidDel="00000000" w:rsidP="00000000" w:rsidRDefault="00000000" w:rsidRPr="00000000" w14:paraId="000002FF">
            <w:pPr>
              <w:widowControl w:val="1"/>
              <w:rPr>
                <w:rFonts w:ascii="Garamond" w:cs="Garamond" w:eastAsia="Garamond" w:hAnsi="Garamond"/>
                <w:color w:val="000000"/>
                <w:sz w:val="16"/>
                <w:szCs w:val="16"/>
              </w:rPr>
            </w:pPr>
            <w:r w:rsidDel="00000000" w:rsidR="00000000" w:rsidRPr="00000000">
              <w:rPr>
                <w:rFonts w:ascii="Garamond" w:cs="Garamond" w:eastAsia="Garamond" w:hAnsi="Garamond"/>
                <w:sz w:val="16"/>
                <w:szCs w:val="16"/>
                <w:rtl w:val="0"/>
              </w:rPr>
              <w:t xml:space="preserve">Contratación directa</w:t>
            </w:r>
            <w:r w:rsidDel="00000000" w:rsidR="00000000" w:rsidRPr="00000000">
              <w:rPr>
                <w:rtl w:val="0"/>
              </w:rPr>
            </w:r>
          </w:p>
        </w:tc>
        <w:tc>
          <w:tcPr>
            <w:vAlign w:val="center"/>
          </w:tcPr>
          <w:p w:rsidR="00000000" w:rsidDel="00000000" w:rsidP="00000000" w:rsidRDefault="00000000" w:rsidRPr="00000000" w14:paraId="00000300">
            <w:pPr>
              <w:widowControl w:val="1"/>
              <w:rPr>
                <w:rFonts w:ascii="Garamond" w:cs="Garamond" w:eastAsia="Garamond" w:hAnsi="Garamond"/>
                <w:color w:val="000000"/>
                <w:sz w:val="16"/>
                <w:szCs w:val="16"/>
              </w:rPr>
            </w:pPr>
            <w:r w:rsidDel="00000000" w:rsidR="00000000" w:rsidRPr="00000000">
              <w:rPr>
                <w:rFonts w:ascii="Garamond" w:cs="Garamond" w:eastAsia="Garamond" w:hAnsi="Garamond"/>
                <w:color w:val="000000"/>
                <w:sz w:val="16"/>
                <w:szCs w:val="16"/>
                <w:rtl w:val="0"/>
              </w:rPr>
              <w:t xml:space="preserve">$</w:t>
            </w:r>
            <w:r w:rsidDel="00000000" w:rsidR="00000000" w:rsidRPr="00000000">
              <w:rPr>
                <w:rFonts w:ascii="Garamond" w:cs="Garamond" w:eastAsia="Garamond" w:hAnsi="Garamond"/>
                <w:sz w:val="16"/>
                <w:szCs w:val="16"/>
                <w:rtl w:val="0"/>
              </w:rPr>
              <w:t xml:space="preserve">38</w:t>
            </w:r>
            <w:r w:rsidDel="00000000" w:rsidR="00000000" w:rsidRPr="00000000">
              <w:rPr>
                <w:rFonts w:ascii="Garamond" w:cs="Garamond" w:eastAsia="Garamond" w:hAnsi="Garamond"/>
                <w:color w:val="000000"/>
                <w:sz w:val="16"/>
                <w:szCs w:val="16"/>
                <w:rtl w:val="0"/>
              </w:rPr>
              <w:t xml:space="preserve">,</w:t>
            </w:r>
            <w:r w:rsidDel="00000000" w:rsidR="00000000" w:rsidRPr="00000000">
              <w:rPr>
                <w:rFonts w:ascii="Garamond" w:cs="Garamond" w:eastAsia="Garamond" w:hAnsi="Garamond"/>
                <w:sz w:val="16"/>
                <w:szCs w:val="16"/>
                <w:rtl w:val="0"/>
              </w:rPr>
              <w:t xml:space="preserve">400</w:t>
            </w:r>
            <w:r w:rsidDel="00000000" w:rsidR="00000000" w:rsidRPr="00000000">
              <w:rPr>
                <w:rFonts w:ascii="Garamond" w:cs="Garamond" w:eastAsia="Garamond" w:hAnsi="Garamond"/>
                <w:color w:val="000000"/>
                <w:sz w:val="16"/>
                <w:szCs w:val="16"/>
                <w:rtl w:val="0"/>
              </w:rPr>
              <w:t xml:space="preserve">,</w:t>
            </w:r>
            <w:r w:rsidDel="00000000" w:rsidR="00000000" w:rsidRPr="00000000">
              <w:rPr>
                <w:rFonts w:ascii="Garamond" w:cs="Garamond" w:eastAsia="Garamond" w:hAnsi="Garamond"/>
                <w:sz w:val="16"/>
                <w:szCs w:val="16"/>
                <w:rtl w:val="0"/>
              </w:rPr>
              <w:t xml:space="preserve">000</w:t>
            </w:r>
            <w:r w:rsidDel="00000000" w:rsidR="00000000" w:rsidRPr="00000000">
              <w:rPr>
                <w:rtl w:val="0"/>
              </w:rPr>
            </w:r>
          </w:p>
        </w:tc>
      </w:tr>
      <w:tr>
        <w:trPr>
          <w:cantSplit w:val="0"/>
          <w:trHeight w:val="288" w:hRule="atLeast"/>
          <w:tblHeader w:val="0"/>
        </w:trPr>
        <w:tc>
          <w:tcPr>
            <w:vAlign w:val="center"/>
          </w:tcPr>
          <w:p w:rsidR="00000000" w:rsidDel="00000000" w:rsidP="00000000" w:rsidRDefault="00000000" w:rsidRPr="00000000" w14:paraId="00000301">
            <w:pPr>
              <w:widowControl w:val="1"/>
              <w:rPr>
                <w:rFonts w:ascii="Garamond" w:cs="Garamond" w:eastAsia="Garamond" w:hAnsi="Garamond"/>
                <w:color w:val="000000"/>
                <w:sz w:val="16"/>
                <w:szCs w:val="16"/>
              </w:rPr>
            </w:pPr>
            <w:r w:rsidDel="00000000" w:rsidR="00000000" w:rsidRPr="00000000">
              <w:rPr>
                <w:rFonts w:ascii="Garamond" w:cs="Garamond" w:eastAsia="Garamond" w:hAnsi="Garamond"/>
                <w:sz w:val="17"/>
                <w:szCs w:val="17"/>
                <w:highlight w:val="white"/>
                <w:rtl w:val="0"/>
              </w:rPr>
              <w:t xml:space="preserve">FDLSC-LP-013-2025 </w:t>
            </w:r>
            <w:r w:rsidDel="00000000" w:rsidR="00000000" w:rsidRPr="00000000">
              <w:rPr>
                <w:rtl w:val="0"/>
              </w:rPr>
            </w:r>
          </w:p>
        </w:tc>
        <w:tc>
          <w:tcPr>
            <w:vAlign w:val="center"/>
          </w:tcPr>
          <w:p w:rsidR="00000000" w:rsidDel="00000000" w:rsidP="00000000" w:rsidRDefault="00000000" w:rsidRPr="00000000" w14:paraId="00000302">
            <w:pPr>
              <w:widowControl w:val="1"/>
              <w:jc w:val="both"/>
              <w:rPr>
                <w:rFonts w:ascii="Garamond" w:cs="Garamond" w:eastAsia="Garamond" w:hAnsi="Garamond"/>
                <w:color w:val="000000"/>
                <w:sz w:val="16"/>
                <w:szCs w:val="16"/>
              </w:rPr>
            </w:pPr>
            <w:r w:rsidDel="00000000" w:rsidR="00000000" w:rsidRPr="00000000">
              <w:rPr>
                <w:rFonts w:ascii="Garamond" w:cs="Garamond" w:eastAsia="Garamond" w:hAnsi="Garamond"/>
                <w:sz w:val="17"/>
                <w:szCs w:val="17"/>
                <w:highlight w:val="white"/>
                <w:rtl w:val="0"/>
              </w:rPr>
              <w:t xml:space="preserve">PRESTACIÓN DE SERVICIOS TÉCNICOS, LOGÍSTICOS Y METODOLÓGICOS DIRIGIDOS AL FORTALECIMIENTO DE LAS ORGANIZACIONES COMUNALES, SOCIALES COMUNITARIAS E INSTANCIAS DE PARTICIPACIÓN DE LA LOCALIDAD DE SAN CRISTÓBAL, MEDIANTE LA IMPLEMENTACIÓN DE PROCESOS INCIDENTES Y DECISORIOS, ASÍ COMO EL DESARROLLO DE CAPACITACIONES TÉCNICAS ORIENTADAS A LA FORMULACIÓN, GESTIÓN Y EJECUCIÓN DE PROYECTOS ASOCIATIVOS QUE CONTRIBUYAN AL FORTALECIMIENTO DE LA PARTICIPACIÓN COMUNITARIA Y AL DESARROLLO LOCAL</w:t>
            </w:r>
            <w:r w:rsidDel="00000000" w:rsidR="00000000" w:rsidRPr="00000000">
              <w:rPr>
                <w:rFonts w:ascii="Garamond" w:cs="Garamond" w:eastAsia="Garamond" w:hAnsi="Garamond"/>
                <w:sz w:val="16"/>
                <w:szCs w:val="16"/>
                <w:rtl w:val="0"/>
              </w:rPr>
              <w:t xml:space="preserve"> </w:t>
            </w:r>
            <w:r w:rsidDel="00000000" w:rsidR="00000000" w:rsidRPr="00000000">
              <w:rPr>
                <w:rtl w:val="0"/>
              </w:rPr>
            </w:r>
          </w:p>
        </w:tc>
        <w:tc>
          <w:tcPr>
            <w:vAlign w:val="center"/>
          </w:tcPr>
          <w:p w:rsidR="00000000" w:rsidDel="00000000" w:rsidP="00000000" w:rsidRDefault="00000000" w:rsidRPr="00000000" w14:paraId="00000303">
            <w:pPr>
              <w:widowControl w:val="1"/>
              <w:rPr>
                <w:rFonts w:ascii="Garamond" w:cs="Garamond" w:eastAsia="Garamond" w:hAnsi="Garamond"/>
                <w:color w:val="000000"/>
                <w:sz w:val="16"/>
                <w:szCs w:val="16"/>
              </w:rPr>
            </w:pPr>
            <w:r w:rsidDel="00000000" w:rsidR="00000000" w:rsidRPr="00000000">
              <w:rPr>
                <w:rFonts w:ascii="Garamond" w:cs="Garamond" w:eastAsia="Garamond" w:hAnsi="Garamond"/>
                <w:color w:val="000000"/>
                <w:sz w:val="16"/>
                <w:szCs w:val="16"/>
                <w:rtl w:val="0"/>
              </w:rPr>
              <w:t xml:space="preserve">Prestaci</w:t>
            </w:r>
            <w:r w:rsidDel="00000000" w:rsidR="00000000" w:rsidRPr="00000000">
              <w:rPr>
                <w:rFonts w:ascii="Garamond" w:cs="Garamond" w:eastAsia="Garamond" w:hAnsi="Garamond"/>
                <w:sz w:val="16"/>
                <w:szCs w:val="16"/>
                <w:rtl w:val="0"/>
              </w:rPr>
              <w:t xml:space="preserve">ó</w:t>
            </w:r>
            <w:r w:rsidDel="00000000" w:rsidR="00000000" w:rsidRPr="00000000">
              <w:rPr>
                <w:rFonts w:ascii="Garamond" w:cs="Garamond" w:eastAsia="Garamond" w:hAnsi="Garamond"/>
                <w:color w:val="000000"/>
                <w:sz w:val="16"/>
                <w:szCs w:val="16"/>
                <w:rtl w:val="0"/>
              </w:rPr>
              <w:t xml:space="preserve">n de servicios</w:t>
            </w:r>
          </w:p>
        </w:tc>
        <w:tc>
          <w:tcPr>
            <w:vAlign w:val="center"/>
          </w:tcPr>
          <w:p w:rsidR="00000000" w:rsidDel="00000000" w:rsidP="00000000" w:rsidRDefault="00000000" w:rsidRPr="00000000" w14:paraId="00000304">
            <w:pPr>
              <w:widowControl w:val="1"/>
              <w:rPr>
                <w:rFonts w:ascii="Garamond" w:cs="Garamond" w:eastAsia="Garamond" w:hAnsi="Garamond"/>
                <w:color w:val="000000"/>
                <w:sz w:val="16"/>
                <w:szCs w:val="16"/>
              </w:rPr>
            </w:pPr>
            <w:r w:rsidDel="00000000" w:rsidR="00000000" w:rsidRPr="00000000">
              <w:rPr>
                <w:rFonts w:ascii="Garamond" w:cs="Garamond" w:eastAsia="Garamond" w:hAnsi="Garamond"/>
                <w:color w:val="000000"/>
                <w:sz w:val="16"/>
                <w:szCs w:val="16"/>
                <w:rtl w:val="0"/>
              </w:rPr>
              <w:t xml:space="preserve">Licitación Pública</w:t>
            </w:r>
          </w:p>
        </w:tc>
        <w:tc>
          <w:tcPr>
            <w:vAlign w:val="center"/>
          </w:tcPr>
          <w:p w:rsidR="00000000" w:rsidDel="00000000" w:rsidP="00000000" w:rsidRDefault="00000000" w:rsidRPr="00000000" w14:paraId="00000305">
            <w:pPr>
              <w:widowControl w:val="1"/>
              <w:rPr>
                <w:rFonts w:ascii="Garamond" w:cs="Garamond" w:eastAsia="Garamond" w:hAnsi="Garamond"/>
                <w:color w:val="000000"/>
                <w:sz w:val="16"/>
                <w:szCs w:val="16"/>
              </w:rPr>
            </w:pPr>
            <w:r w:rsidDel="00000000" w:rsidR="00000000" w:rsidRPr="00000000">
              <w:rPr>
                <w:rFonts w:ascii="Garamond" w:cs="Garamond" w:eastAsia="Garamond" w:hAnsi="Garamond"/>
                <w:color w:val="000000"/>
                <w:sz w:val="16"/>
                <w:szCs w:val="16"/>
                <w:rtl w:val="0"/>
              </w:rPr>
              <w:t xml:space="preserve">$</w:t>
            </w:r>
            <w:r w:rsidDel="00000000" w:rsidR="00000000" w:rsidRPr="00000000">
              <w:rPr>
                <w:rFonts w:ascii="Garamond" w:cs="Garamond" w:eastAsia="Garamond" w:hAnsi="Garamond"/>
                <w:sz w:val="16"/>
                <w:szCs w:val="16"/>
                <w:rtl w:val="0"/>
              </w:rPr>
              <w:t xml:space="preserve">1.150,438</w:t>
            </w:r>
            <w:r w:rsidDel="00000000" w:rsidR="00000000" w:rsidRPr="00000000">
              <w:rPr>
                <w:rFonts w:ascii="Garamond" w:cs="Garamond" w:eastAsia="Garamond" w:hAnsi="Garamond"/>
                <w:color w:val="000000"/>
                <w:sz w:val="16"/>
                <w:szCs w:val="16"/>
                <w:rtl w:val="0"/>
              </w:rPr>
              <w:t xml:space="preserve">,</w:t>
            </w:r>
            <w:r w:rsidDel="00000000" w:rsidR="00000000" w:rsidRPr="00000000">
              <w:rPr>
                <w:rFonts w:ascii="Garamond" w:cs="Garamond" w:eastAsia="Garamond" w:hAnsi="Garamond"/>
                <w:sz w:val="16"/>
                <w:szCs w:val="16"/>
                <w:rtl w:val="0"/>
              </w:rPr>
              <w:t xml:space="preserve">333</w:t>
            </w:r>
            <w:r w:rsidDel="00000000" w:rsidR="00000000" w:rsidRPr="00000000">
              <w:rPr>
                <w:rtl w:val="0"/>
              </w:rPr>
            </w:r>
          </w:p>
        </w:tc>
      </w:tr>
      <w:tr>
        <w:trPr>
          <w:cantSplit w:val="0"/>
          <w:trHeight w:val="288" w:hRule="atLeast"/>
          <w:tblHeader w:val="0"/>
        </w:trPr>
        <w:tc>
          <w:tcPr>
            <w:vAlign w:val="center"/>
          </w:tcPr>
          <w:p w:rsidR="00000000" w:rsidDel="00000000" w:rsidP="00000000" w:rsidRDefault="00000000" w:rsidRPr="00000000" w14:paraId="00000306">
            <w:pPr>
              <w:widowControl w:val="1"/>
              <w:rPr>
                <w:rFonts w:ascii="Garamond" w:cs="Garamond" w:eastAsia="Garamond" w:hAnsi="Garamond"/>
                <w:color w:val="000000"/>
                <w:sz w:val="16"/>
                <w:szCs w:val="16"/>
              </w:rPr>
            </w:pPr>
            <w:r w:rsidDel="00000000" w:rsidR="00000000" w:rsidRPr="00000000">
              <w:rPr>
                <w:rFonts w:ascii="Garamond" w:cs="Garamond" w:eastAsia="Garamond" w:hAnsi="Garamond"/>
                <w:sz w:val="16"/>
                <w:szCs w:val="16"/>
                <w:rtl w:val="0"/>
              </w:rPr>
              <w:t xml:space="preserve">FDLSCCD-006-2026</w:t>
            </w:r>
            <w:r w:rsidDel="00000000" w:rsidR="00000000" w:rsidRPr="00000000">
              <w:rPr>
                <w:rtl w:val="0"/>
              </w:rPr>
            </w:r>
          </w:p>
        </w:tc>
        <w:tc>
          <w:tcPr>
            <w:vAlign w:val="center"/>
          </w:tcPr>
          <w:p w:rsidR="00000000" w:rsidDel="00000000" w:rsidP="00000000" w:rsidRDefault="00000000" w:rsidRPr="00000000" w14:paraId="00000307">
            <w:pPr>
              <w:widowControl w:val="1"/>
              <w:jc w:val="both"/>
              <w:rPr>
                <w:rFonts w:ascii="Garamond" w:cs="Garamond" w:eastAsia="Garamond" w:hAnsi="Garamond"/>
                <w:color w:val="000000"/>
                <w:sz w:val="16"/>
                <w:szCs w:val="16"/>
              </w:rPr>
            </w:pPr>
            <w:r w:rsidDel="00000000" w:rsidR="00000000" w:rsidRPr="00000000">
              <w:rPr>
                <w:rFonts w:ascii="Garamond" w:cs="Garamond" w:eastAsia="Garamond" w:hAnsi="Garamond"/>
                <w:sz w:val="16"/>
                <w:szCs w:val="16"/>
                <w:rtl w:val="0"/>
              </w:rPr>
              <w:t xml:space="preserve">PRESTAR SUS SERVICIOS PROFESIONALES A L FDLSC EN EL SEGUIMIENTO Y ACOMPAÑAMIENTO DE LOS PROCESOS DE CARACTERIZACIÓN, CAPACITACIÓN Y FORTALECIMIENTO DE INSTANCIAS DE PARTICIPACIÓN CIUDADANA,ORGANIZACIONES SOCIALES, JAC, DE CONFORMIDAD CON EL MARCO NORMATIVO APLICABLE EN LA MATERIA</w:t>
            </w:r>
            <w:r w:rsidDel="00000000" w:rsidR="00000000" w:rsidRPr="00000000">
              <w:rPr>
                <w:rFonts w:ascii="Garamond" w:cs="Garamond" w:eastAsia="Garamond" w:hAnsi="Garamond"/>
                <w:sz w:val="17"/>
                <w:szCs w:val="17"/>
                <w:highlight w:val="white"/>
                <w:rtl w:val="0"/>
              </w:rPr>
              <w:t xml:space="preserve">.</w:t>
            </w:r>
            <w:r w:rsidDel="00000000" w:rsidR="00000000" w:rsidRPr="00000000">
              <w:rPr>
                <w:rFonts w:ascii="Garamond" w:cs="Garamond" w:eastAsia="Garamond" w:hAnsi="Garamond"/>
                <w:sz w:val="16"/>
                <w:szCs w:val="16"/>
                <w:rtl w:val="0"/>
              </w:rPr>
              <w:t xml:space="preserve"> </w:t>
            </w:r>
            <w:r w:rsidDel="00000000" w:rsidR="00000000" w:rsidRPr="00000000">
              <w:rPr>
                <w:rtl w:val="0"/>
              </w:rPr>
            </w:r>
          </w:p>
        </w:tc>
        <w:tc>
          <w:tcPr>
            <w:vAlign w:val="center"/>
          </w:tcPr>
          <w:p w:rsidR="00000000" w:rsidDel="00000000" w:rsidP="00000000" w:rsidRDefault="00000000" w:rsidRPr="00000000" w14:paraId="00000308">
            <w:pPr>
              <w:widowControl w:val="1"/>
              <w:rPr>
                <w:rFonts w:ascii="Garamond" w:cs="Garamond" w:eastAsia="Garamond" w:hAnsi="Garamond"/>
                <w:color w:val="000000"/>
                <w:sz w:val="16"/>
                <w:szCs w:val="16"/>
              </w:rPr>
            </w:pPr>
            <w:r w:rsidDel="00000000" w:rsidR="00000000" w:rsidRPr="00000000">
              <w:rPr>
                <w:rFonts w:ascii="Garamond" w:cs="Garamond" w:eastAsia="Garamond" w:hAnsi="Garamond"/>
                <w:sz w:val="16"/>
                <w:szCs w:val="16"/>
                <w:rtl w:val="0"/>
              </w:rPr>
              <w:t xml:space="preserve">Prestación de servicios</w:t>
            </w:r>
            <w:r w:rsidDel="00000000" w:rsidR="00000000" w:rsidRPr="00000000">
              <w:rPr>
                <w:rtl w:val="0"/>
              </w:rPr>
            </w:r>
          </w:p>
        </w:tc>
        <w:tc>
          <w:tcPr>
            <w:vAlign w:val="center"/>
          </w:tcPr>
          <w:p w:rsidR="00000000" w:rsidDel="00000000" w:rsidP="00000000" w:rsidRDefault="00000000" w:rsidRPr="00000000" w14:paraId="00000309">
            <w:pPr>
              <w:widowControl w:val="1"/>
              <w:rPr>
                <w:rFonts w:ascii="Garamond" w:cs="Garamond" w:eastAsia="Garamond" w:hAnsi="Garamond"/>
                <w:color w:val="000000"/>
                <w:sz w:val="16"/>
                <w:szCs w:val="16"/>
              </w:rPr>
            </w:pPr>
            <w:r w:rsidDel="00000000" w:rsidR="00000000" w:rsidRPr="00000000">
              <w:rPr>
                <w:rFonts w:ascii="Garamond" w:cs="Garamond" w:eastAsia="Garamond" w:hAnsi="Garamond"/>
                <w:sz w:val="16"/>
                <w:szCs w:val="16"/>
                <w:rtl w:val="0"/>
              </w:rPr>
              <w:t xml:space="preserve">Contratación Directa</w:t>
            </w:r>
            <w:r w:rsidDel="00000000" w:rsidR="00000000" w:rsidRPr="00000000">
              <w:rPr>
                <w:rtl w:val="0"/>
              </w:rPr>
            </w:r>
          </w:p>
        </w:tc>
        <w:tc>
          <w:tcPr>
            <w:vAlign w:val="center"/>
          </w:tcPr>
          <w:p w:rsidR="00000000" w:rsidDel="00000000" w:rsidP="00000000" w:rsidRDefault="00000000" w:rsidRPr="00000000" w14:paraId="0000030A">
            <w:pPr>
              <w:widowControl w:val="1"/>
              <w:rPr>
                <w:rFonts w:ascii="Garamond" w:cs="Garamond" w:eastAsia="Garamond" w:hAnsi="Garamond"/>
                <w:color w:val="000000"/>
                <w:sz w:val="16"/>
                <w:szCs w:val="16"/>
              </w:rPr>
            </w:pPr>
            <w:r w:rsidDel="00000000" w:rsidR="00000000" w:rsidRPr="00000000">
              <w:rPr>
                <w:rFonts w:ascii="Garamond" w:cs="Garamond" w:eastAsia="Garamond" w:hAnsi="Garamond"/>
                <w:color w:val="000000"/>
                <w:sz w:val="16"/>
                <w:szCs w:val="16"/>
                <w:rtl w:val="0"/>
              </w:rPr>
              <w:t xml:space="preserve">$</w:t>
            </w:r>
            <w:r w:rsidDel="00000000" w:rsidR="00000000" w:rsidRPr="00000000">
              <w:rPr>
                <w:rFonts w:ascii="Garamond" w:cs="Garamond" w:eastAsia="Garamond" w:hAnsi="Garamond"/>
                <w:sz w:val="16"/>
                <w:szCs w:val="16"/>
                <w:rtl w:val="0"/>
              </w:rPr>
              <w:t xml:space="preserve">672,000</w:t>
            </w:r>
            <w:r w:rsidDel="00000000" w:rsidR="00000000" w:rsidRPr="00000000">
              <w:rPr>
                <w:rFonts w:ascii="Garamond" w:cs="Garamond" w:eastAsia="Garamond" w:hAnsi="Garamond"/>
                <w:color w:val="000000"/>
                <w:sz w:val="16"/>
                <w:szCs w:val="16"/>
                <w:rtl w:val="0"/>
              </w:rPr>
              <w:t xml:space="preserve">,</w:t>
            </w:r>
            <w:r w:rsidDel="00000000" w:rsidR="00000000" w:rsidRPr="00000000">
              <w:rPr>
                <w:rFonts w:ascii="Garamond" w:cs="Garamond" w:eastAsia="Garamond" w:hAnsi="Garamond"/>
                <w:sz w:val="16"/>
                <w:szCs w:val="16"/>
                <w:rtl w:val="0"/>
              </w:rPr>
              <w:t xml:space="preserve">000</w:t>
            </w:r>
            <w:r w:rsidDel="00000000" w:rsidR="00000000" w:rsidRPr="00000000">
              <w:rPr>
                <w:rtl w:val="0"/>
              </w:rPr>
            </w:r>
          </w:p>
        </w:tc>
      </w:tr>
      <w:tr>
        <w:trPr>
          <w:cantSplit w:val="0"/>
          <w:trHeight w:val="288" w:hRule="atLeast"/>
          <w:tblHeader w:val="0"/>
        </w:trPr>
        <w:tc>
          <w:tcPr>
            <w:vAlign w:val="center"/>
          </w:tcPr>
          <w:p w:rsidR="00000000" w:rsidDel="00000000" w:rsidP="00000000" w:rsidRDefault="00000000" w:rsidRPr="00000000" w14:paraId="0000030B">
            <w:pPr>
              <w:widowControl w:val="1"/>
              <w:rPr>
                <w:rFonts w:ascii="Garamond" w:cs="Garamond" w:eastAsia="Garamond" w:hAnsi="Garamond"/>
                <w:color w:val="000000"/>
                <w:sz w:val="16"/>
                <w:szCs w:val="16"/>
              </w:rPr>
            </w:pPr>
            <w:r w:rsidDel="00000000" w:rsidR="00000000" w:rsidRPr="00000000">
              <w:rPr>
                <w:rFonts w:ascii="Garamond" w:cs="Garamond" w:eastAsia="Garamond" w:hAnsi="Garamond"/>
                <w:color w:val="000000"/>
                <w:sz w:val="16"/>
                <w:szCs w:val="16"/>
                <w:rtl w:val="0"/>
              </w:rPr>
              <w:t xml:space="preserve">CPS-225-2017</w:t>
            </w:r>
          </w:p>
        </w:tc>
        <w:tc>
          <w:tcPr>
            <w:vAlign w:val="center"/>
          </w:tcPr>
          <w:p w:rsidR="00000000" w:rsidDel="00000000" w:rsidP="00000000" w:rsidRDefault="00000000" w:rsidRPr="00000000" w14:paraId="0000030C">
            <w:pPr>
              <w:widowControl w:val="1"/>
              <w:jc w:val="both"/>
              <w:rPr>
                <w:rFonts w:ascii="Garamond" w:cs="Garamond" w:eastAsia="Garamond" w:hAnsi="Garamond"/>
                <w:color w:val="000000"/>
                <w:sz w:val="16"/>
                <w:szCs w:val="16"/>
              </w:rPr>
            </w:pPr>
            <w:r w:rsidDel="00000000" w:rsidR="00000000" w:rsidRPr="00000000">
              <w:rPr>
                <w:rFonts w:ascii="Garamond" w:cs="Garamond" w:eastAsia="Garamond" w:hAnsi="Garamond"/>
                <w:color w:val="000000"/>
                <w:sz w:val="16"/>
                <w:szCs w:val="16"/>
                <w:rtl w:val="0"/>
              </w:rPr>
              <w:t xml:space="preserve">PRESTAR LOS SERVICIOS PARA REALIZAR ACCIONES Y FORTALECER LAS CAPACIDADES DE </w:t>
            </w:r>
            <w:r w:rsidDel="00000000" w:rsidR="00000000" w:rsidRPr="00000000">
              <w:rPr>
                <w:rFonts w:ascii="Garamond" w:cs="Garamond" w:eastAsia="Garamond" w:hAnsi="Garamond"/>
                <w:sz w:val="16"/>
                <w:szCs w:val="16"/>
                <w:rtl w:val="0"/>
              </w:rPr>
              <w:t xml:space="preserve">GESTIÓN</w:t>
            </w:r>
            <w:r w:rsidDel="00000000" w:rsidR="00000000" w:rsidRPr="00000000">
              <w:rPr>
                <w:rFonts w:ascii="Garamond" w:cs="Garamond" w:eastAsia="Garamond" w:hAnsi="Garamond"/>
                <w:color w:val="000000"/>
                <w:sz w:val="16"/>
                <w:szCs w:val="16"/>
                <w:rtl w:val="0"/>
              </w:rPr>
              <w:t xml:space="preserve"> SOCIAL Y DERECHO A LA </w:t>
            </w:r>
            <w:r w:rsidDel="00000000" w:rsidR="00000000" w:rsidRPr="00000000">
              <w:rPr>
                <w:rFonts w:ascii="Garamond" w:cs="Garamond" w:eastAsia="Garamond" w:hAnsi="Garamond"/>
                <w:sz w:val="16"/>
                <w:szCs w:val="16"/>
                <w:rtl w:val="0"/>
              </w:rPr>
              <w:t xml:space="preserve">PARTICIPACIÓN</w:t>
            </w:r>
            <w:r w:rsidDel="00000000" w:rsidR="00000000" w:rsidRPr="00000000">
              <w:rPr>
                <w:rFonts w:ascii="Garamond" w:cs="Garamond" w:eastAsia="Garamond" w:hAnsi="Garamond"/>
                <w:color w:val="000000"/>
                <w:sz w:val="16"/>
                <w:szCs w:val="16"/>
                <w:rtl w:val="0"/>
              </w:rPr>
              <w:t xml:space="preserve"> DE LAS DIFERENTES ORGANIZACIONES COMUNALES; COMUNITARIAS; SOCIALES; INSTANCIAS Y EXPRESIONES SOCIALES CIUDADANAS DE LA LOCALIDAD DE SAN </w:t>
            </w:r>
            <w:r w:rsidDel="00000000" w:rsidR="00000000" w:rsidRPr="00000000">
              <w:rPr>
                <w:rFonts w:ascii="Garamond" w:cs="Garamond" w:eastAsia="Garamond" w:hAnsi="Garamond"/>
                <w:sz w:val="16"/>
                <w:szCs w:val="16"/>
                <w:rtl w:val="0"/>
              </w:rPr>
              <w:t xml:space="preserve">CRISTÓBAL</w:t>
            </w:r>
            <w:r w:rsidDel="00000000" w:rsidR="00000000" w:rsidRPr="00000000">
              <w:rPr>
                <w:rtl w:val="0"/>
              </w:rPr>
            </w:r>
          </w:p>
        </w:tc>
        <w:tc>
          <w:tcPr>
            <w:vAlign w:val="center"/>
          </w:tcPr>
          <w:p w:rsidR="00000000" w:rsidDel="00000000" w:rsidP="00000000" w:rsidRDefault="00000000" w:rsidRPr="00000000" w14:paraId="0000030D">
            <w:pPr>
              <w:widowControl w:val="1"/>
              <w:rPr>
                <w:rFonts w:ascii="Garamond" w:cs="Garamond" w:eastAsia="Garamond" w:hAnsi="Garamond"/>
                <w:color w:val="000000"/>
                <w:sz w:val="16"/>
                <w:szCs w:val="16"/>
              </w:rPr>
            </w:pPr>
            <w:r w:rsidDel="00000000" w:rsidR="00000000" w:rsidRPr="00000000">
              <w:rPr>
                <w:rFonts w:ascii="Garamond" w:cs="Garamond" w:eastAsia="Garamond" w:hAnsi="Garamond"/>
                <w:color w:val="000000"/>
                <w:sz w:val="16"/>
                <w:szCs w:val="16"/>
                <w:rtl w:val="0"/>
              </w:rPr>
              <w:t xml:space="preserve">Prestación de servicios</w:t>
            </w:r>
          </w:p>
        </w:tc>
        <w:tc>
          <w:tcPr>
            <w:vAlign w:val="center"/>
          </w:tcPr>
          <w:p w:rsidR="00000000" w:rsidDel="00000000" w:rsidP="00000000" w:rsidRDefault="00000000" w:rsidRPr="00000000" w14:paraId="0000030E">
            <w:pPr>
              <w:widowControl w:val="1"/>
              <w:rPr>
                <w:rFonts w:ascii="Garamond" w:cs="Garamond" w:eastAsia="Garamond" w:hAnsi="Garamond"/>
                <w:color w:val="000000"/>
                <w:sz w:val="16"/>
                <w:szCs w:val="16"/>
              </w:rPr>
            </w:pPr>
            <w:r w:rsidDel="00000000" w:rsidR="00000000" w:rsidRPr="00000000">
              <w:rPr>
                <w:rFonts w:ascii="Garamond" w:cs="Garamond" w:eastAsia="Garamond" w:hAnsi="Garamond"/>
                <w:color w:val="000000"/>
                <w:sz w:val="16"/>
                <w:szCs w:val="16"/>
                <w:rtl w:val="0"/>
              </w:rPr>
              <w:t xml:space="preserve">Licitación Pública</w:t>
            </w:r>
          </w:p>
        </w:tc>
        <w:tc>
          <w:tcPr>
            <w:vAlign w:val="center"/>
          </w:tcPr>
          <w:p w:rsidR="00000000" w:rsidDel="00000000" w:rsidP="00000000" w:rsidRDefault="00000000" w:rsidRPr="00000000" w14:paraId="0000030F">
            <w:pPr>
              <w:widowControl w:val="1"/>
              <w:rPr>
                <w:rFonts w:ascii="Garamond" w:cs="Garamond" w:eastAsia="Garamond" w:hAnsi="Garamond"/>
                <w:color w:val="000000"/>
                <w:sz w:val="16"/>
                <w:szCs w:val="16"/>
              </w:rPr>
            </w:pPr>
            <w:r w:rsidDel="00000000" w:rsidR="00000000" w:rsidRPr="00000000">
              <w:rPr>
                <w:rFonts w:ascii="Garamond" w:cs="Garamond" w:eastAsia="Garamond" w:hAnsi="Garamond"/>
                <w:color w:val="000000"/>
                <w:sz w:val="16"/>
                <w:szCs w:val="16"/>
                <w:rtl w:val="0"/>
              </w:rPr>
              <w:t xml:space="preserve">$485,615,000</w:t>
            </w:r>
          </w:p>
        </w:tc>
      </w:tr>
      <w:tr>
        <w:trPr>
          <w:cantSplit w:val="0"/>
          <w:trHeight w:val="288" w:hRule="atLeast"/>
          <w:tblHeader w:val="0"/>
        </w:trPr>
        <w:tc>
          <w:tcPr>
            <w:vAlign w:val="center"/>
          </w:tcPr>
          <w:p w:rsidR="00000000" w:rsidDel="00000000" w:rsidP="00000000" w:rsidRDefault="00000000" w:rsidRPr="00000000" w14:paraId="00000310">
            <w:pPr>
              <w:widowControl w:val="1"/>
              <w:rPr>
                <w:rFonts w:ascii="Garamond" w:cs="Garamond" w:eastAsia="Garamond" w:hAnsi="Garamond"/>
                <w:color w:val="000000"/>
                <w:sz w:val="16"/>
                <w:szCs w:val="16"/>
              </w:rPr>
            </w:pPr>
            <w:r w:rsidDel="00000000" w:rsidR="00000000" w:rsidRPr="00000000">
              <w:rPr>
                <w:rFonts w:ascii="Garamond" w:cs="Garamond" w:eastAsia="Garamond" w:hAnsi="Garamond"/>
                <w:color w:val="000000"/>
                <w:sz w:val="16"/>
                <w:szCs w:val="16"/>
                <w:rtl w:val="0"/>
              </w:rPr>
              <w:t xml:space="preserve">FDLSC-CPS-531-2021</w:t>
            </w:r>
          </w:p>
        </w:tc>
        <w:tc>
          <w:tcPr>
            <w:vAlign w:val="center"/>
          </w:tcPr>
          <w:p w:rsidR="00000000" w:rsidDel="00000000" w:rsidP="00000000" w:rsidRDefault="00000000" w:rsidRPr="00000000" w14:paraId="00000311">
            <w:pPr>
              <w:widowControl w:val="1"/>
              <w:jc w:val="both"/>
              <w:rPr>
                <w:rFonts w:ascii="Garamond" w:cs="Garamond" w:eastAsia="Garamond" w:hAnsi="Garamond"/>
                <w:color w:val="000000"/>
                <w:sz w:val="16"/>
                <w:szCs w:val="16"/>
              </w:rPr>
            </w:pPr>
            <w:r w:rsidDel="00000000" w:rsidR="00000000" w:rsidRPr="00000000">
              <w:rPr>
                <w:rFonts w:ascii="Garamond" w:cs="Garamond" w:eastAsia="Garamond" w:hAnsi="Garamond"/>
                <w:color w:val="000000"/>
                <w:sz w:val="16"/>
                <w:szCs w:val="16"/>
                <w:rtl w:val="0"/>
              </w:rPr>
              <w:t xml:space="preserve">DISEÑAR E IMPLEMENTAR ESTRATEGIAS PARA LA TRANSFERENCIA DE CONOCIMIENTO; A TRAVES DE PROCESOS DE FORMACION Y CAPACITACION DE LOS (LAS) CIUDADANOS (AS) Y MIEMBROS DE LAS DIFERENTES ORGANIZACIONES COMUNALES; COMUNITARIAS; SOCIALES; INSTANCIAS Y EXPRESIONES DE </w:t>
            </w:r>
            <w:r w:rsidDel="00000000" w:rsidR="00000000" w:rsidRPr="00000000">
              <w:rPr>
                <w:rFonts w:ascii="Garamond" w:cs="Garamond" w:eastAsia="Garamond" w:hAnsi="Garamond"/>
                <w:sz w:val="16"/>
                <w:szCs w:val="16"/>
                <w:rtl w:val="0"/>
              </w:rPr>
              <w:t xml:space="preserve">PARTICIPACIÓN</w:t>
            </w:r>
            <w:r w:rsidDel="00000000" w:rsidR="00000000" w:rsidRPr="00000000">
              <w:rPr>
                <w:rFonts w:ascii="Garamond" w:cs="Garamond" w:eastAsia="Garamond" w:hAnsi="Garamond"/>
                <w:color w:val="000000"/>
                <w:sz w:val="16"/>
                <w:szCs w:val="16"/>
                <w:rtl w:val="0"/>
              </w:rPr>
              <w:t xml:space="preserve"> CIUDADANA DE LA LOCALIDAD DE SAN </w:t>
            </w:r>
            <w:r w:rsidDel="00000000" w:rsidR="00000000" w:rsidRPr="00000000">
              <w:rPr>
                <w:rFonts w:ascii="Garamond" w:cs="Garamond" w:eastAsia="Garamond" w:hAnsi="Garamond"/>
                <w:sz w:val="16"/>
                <w:szCs w:val="16"/>
                <w:rtl w:val="0"/>
              </w:rPr>
              <w:t xml:space="preserve">CRISTÓBAL</w:t>
            </w:r>
            <w:r w:rsidDel="00000000" w:rsidR="00000000" w:rsidRPr="00000000">
              <w:rPr>
                <w:rtl w:val="0"/>
              </w:rPr>
            </w:r>
          </w:p>
        </w:tc>
        <w:tc>
          <w:tcPr>
            <w:vAlign w:val="center"/>
          </w:tcPr>
          <w:p w:rsidR="00000000" w:rsidDel="00000000" w:rsidP="00000000" w:rsidRDefault="00000000" w:rsidRPr="00000000" w14:paraId="00000312">
            <w:pPr>
              <w:widowControl w:val="1"/>
              <w:rPr>
                <w:rFonts w:ascii="Garamond" w:cs="Garamond" w:eastAsia="Garamond" w:hAnsi="Garamond"/>
                <w:color w:val="000000"/>
                <w:sz w:val="16"/>
                <w:szCs w:val="16"/>
              </w:rPr>
            </w:pPr>
            <w:r w:rsidDel="00000000" w:rsidR="00000000" w:rsidRPr="00000000">
              <w:rPr>
                <w:rFonts w:ascii="Garamond" w:cs="Garamond" w:eastAsia="Garamond" w:hAnsi="Garamond"/>
                <w:color w:val="000000"/>
                <w:sz w:val="16"/>
                <w:szCs w:val="16"/>
                <w:rtl w:val="0"/>
              </w:rPr>
              <w:t xml:space="preserve">Prestación de servicios</w:t>
            </w:r>
          </w:p>
        </w:tc>
        <w:tc>
          <w:tcPr>
            <w:vAlign w:val="center"/>
          </w:tcPr>
          <w:p w:rsidR="00000000" w:rsidDel="00000000" w:rsidP="00000000" w:rsidRDefault="00000000" w:rsidRPr="00000000" w14:paraId="00000313">
            <w:pPr>
              <w:widowControl w:val="1"/>
              <w:rPr>
                <w:rFonts w:ascii="Garamond" w:cs="Garamond" w:eastAsia="Garamond" w:hAnsi="Garamond"/>
                <w:color w:val="000000"/>
                <w:sz w:val="16"/>
                <w:szCs w:val="16"/>
              </w:rPr>
            </w:pPr>
            <w:r w:rsidDel="00000000" w:rsidR="00000000" w:rsidRPr="00000000">
              <w:rPr>
                <w:rFonts w:ascii="Garamond" w:cs="Garamond" w:eastAsia="Garamond" w:hAnsi="Garamond"/>
                <w:color w:val="000000"/>
                <w:sz w:val="16"/>
                <w:szCs w:val="16"/>
                <w:rtl w:val="0"/>
              </w:rPr>
              <w:t xml:space="preserve">Selección Abreviada de Menor Cuantía</w:t>
            </w:r>
          </w:p>
        </w:tc>
        <w:tc>
          <w:tcPr>
            <w:vAlign w:val="center"/>
          </w:tcPr>
          <w:p w:rsidR="00000000" w:rsidDel="00000000" w:rsidP="00000000" w:rsidRDefault="00000000" w:rsidRPr="00000000" w14:paraId="00000314">
            <w:pPr>
              <w:widowControl w:val="1"/>
              <w:rPr>
                <w:rFonts w:ascii="Garamond" w:cs="Garamond" w:eastAsia="Garamond" w:hAnsi="Garamond"/>
                <w:color w:val="000000"/>
                <w:sz w:val="16"/>
                <w:szCs w:val="16"/>
              </w:rPr>
            </w:pPr>
            <w:r w:rsidDel="00000000" w:rsidR="00000000" w:rsidRPr="00000000">
              <w:rPr>
                <w:rFonts w:ascii="Garamond" w:cs="Garamond" w:eastAsia="Garamond" w:hAnsi="Garamond"/>
                <w:color w:val="000000"/>
                <w:sz w:val="16"/>
                <w:szCs w:val="16"/>
                <w:rtl w:val="0"/>
              </w:rPr>
              <w:t xml:space="preserve">$248,424,750</w:t>
            </w:r>
          </w:p>
        </w:tc>
      </w:tr>
      <w:tr>
        <w:trPr>
          <w:cantSplit w:val="0"/>
          <w:trHeight w:val="288" w:hRule="atLeast"/>
          <w:tblHeader w:val="0"/>
        </w:trPr>
        <w:tc>
          <w:tcPr>
            <w:vAlign w:val="center"/>
          </w:tcPr>
          <w:p w:rsidR="00000000" w:rsidDel="00000000" w:rsidP="00000000" w:rsidRDefault="00000000" w:rsidRPr="00000000" w14:paraId="00000315">
            <w:pPr>
              <w:widowControl w:val="1"/>
              <w:rPr>
                <w:rFonts w:ascii="Garamond" w:cs="Garamond" w:eastAsia="Garamond" w:hAnsi="Garamond"/>
                <w:color w:val="000000"/>
                <w:sz w:val="16"/>
                <w:szCs w:val="16"/>
              </w:rPr>
            </w:pPr>
            <w:r w:rsidDel="00000000" w:rsidR="00000000" w:rsidRPr="00000000">
              <w:rPr>
                <w:rFonts w:ascii="Garamond" w:cs="Garamond" w:eastAsia="Garamond" w:hAnsi="Garamond"/>
                <w:sz w:val="16"/>
                <w:szCs w:val="16"/>
                <w:rtl w:val="0"/>
              </w:rPr>
              <w:t xml:space="preserve">FDLSC-SAMC-010-2025 </w:t>
            </w:r>
            <w:r w:rsidDel="00000000" w:rsidR="00000000" w:rsidRPr="00000000">
              <w:rPr>
                <w:rtl w:val="0"/>
              </w:rPr>
            </w:r>
          </w:p>
        </w:tc>
        <w:tc>
          <w:tcPr>
            <w:vAlign w:val="center"/>
          </w:tcPr>
          <w:p w:rsidR="00000000" w:rsidDel="00000000" w:rsidP="00000000" w:rsidRDefault="00000000" w:rsidRPr="00000000" w14:paraId="00000316">
            <w:pPr>
              <w:widowControl w:val="1"/>
              <w:jc w:val="both"/>
              <w:rPr>
                <w:rFonts w:ascii="Garamond" w:cs="Garamond" w:eastAsia="Garamond" w:hAnsi="Garamond"/>
                <w:color w:val="000000"/>
                <w:sz w:val="16"/>
                <w:szCs w:val="16"/>
              </w:rPr>
            </w:pPr>
            <w:r w:rsidDel="00000000" w:rsidR="00000000" w:rsidRPr="00000000">
              <w:rPr>
                <w:rFonts w:ascii="Garamond" w:cs="Garamond" w:eastAsia="Garamond" w:hAnsi="Garamond"/>
                <w:sz w:val="16"/>
                <w:szCs w:val="16"/>
                <w:rtl w:val="0"/>
              </w:rPr>
              <w:t xml:space="preserve">CONTRATAR BIENES Y SERVICIOS PARA EL DESARROLLO DE ACTIVIDADES PEDAGÓGICAS, CULTURALES Y COMUNITARIAS ORIENTADAS A LA PROMOCIÓN DE LA CONVIVENCIA CIUDADANA Y LA JUSTICIA RESTAURATIVA, INCLUYENDO PRODUCCIÓN AUDIOVISUAL, SUMINISTRO DE MATERIALES Y KITS ACADÉMICOS, LOGÍSTICA DE EVENTOS, SERVICIOS DE FORMACIÓN, SISTEMATIZACIÓN Y APOYO METODOLÓGICO EN LA LOCALIDAD DE SAN CRISTÓBAL </w:t>
            </w:r>
            <w:r w:rsidDel="00000000" w:rsidR="00000000" w:rsidRPr="00000000">
              <w:rPr>
                <w:rtl w:val="0"/>
              </w:rPr>
            </w:r>
          </w:p>
        </w:tc>
        <w:tc>
          <w:tcPr>
            <w:vAlign w:val="center"/>
          </w:tcPr>
          <w:p w:rsidR="00000000" w:rsidDel="00000000" w:rsidP="00000000" w:rsidRDefault="00000000" w:rsidRPr="00000000" w14:paraId="00000317">
            <w:pPr>
              <w:widowControl w:val="1"/>
              <w:rPr>
                <w:rFonts w:ascii="Garamond" w:cs="Garamond" w:eastAsia="Garamond" w:hAnsi="Garamond"/>
                <w:color w:val="000000"/>
                <w:sz w:val="16"/>
                <w:szCs w:val="16"/>
              </w:rPr>
            </w:pPr>
            <w:r w:rsidDel="00000000" w:rsidR="00000000" w:rsidRPr="00000000">
              <w:rPr>
                <w:rFonts w:ascii="Garamond" w:cs="Garamond" w:eastAsia="Garamond" w:hAnsi="Garamond"/>
                <w:color w:val="000000"/>
                <w:sz w:val="16"/>
                <w:szCs w:val="16"/>
                <w:rtl w:val="0"/>
              </w:rPr>
              <w:t xml:space="preserve">Prestación de servicios</w:t>
            </w:r>
          </w:p>
        </w:tc>
        <w:tc>
          <w:tcPr>
            <w:vAlign w:val="center"/>
          </w:tcPr>
          <w:p w:rsidR="00000000" w:rsidDel="00000000" w:rsidP="00000000" w:rsidRDefault="00000000" w:rsidRPr="00000000" w14:paraId="00000318">
            <w:pPr>
              <w:widowControl w:val="1"/>
              <w:rPr>
                <w:rFonts w:ascii="Garamond" w:cs="Garamond" w:eastAsia="Garamond" w:hAnsi="Garamond"/>
                <w:color w:val="000000"/>
                <w:sz w:val="16"/>
                <w:szCs w:val="16"/>
              </w:rPr>
            </w:pPr>
            <w:r w:rsidDel="00000000" w:rsidR="00000000" w:rsidRPr="00000000">
              <w:rPr>
                <w:rFonts w:ascii="Garamond" w:cs="Garamond" w:eastAsia="Garamond" w:hAnsi="Garamond"/>
                <w:sz w:val="16"/>
                <w:szCs w:val="16"/>
                <w:rtl w:val="0"/>
              </w:rPr>
              <w:t xml:space="preserve">Selección abreviada menor cuantía </w:t>
            </w:r>
            <w:r w:rsidDel="00000000" w:rsidR="00000000" w:rsidRPr="00000000">
              <w:rPr>
                <w:rtl w:val="0"/>
              </w:rPr>
            </w:r>
          </w:p>
        </w:tc>
        <w:tc>
          <w:tcPr>
            <w:vAlign w:val="center"/>
          </w:tcPr>
          <w:p w:rsidR="00000000" w:rsidDel="00000000" w:rsidP="00000000" w:rsidRDefault="00000000" w:rsidRPr="00000000" w14:paraId="00000319">
            <w:pPr>
              <w:widowControl w:val="1"/>
              <w:rPr>
                <w:rFonts w:ascii="Garamond" w:cs="Garamond" w:eastAsia="Garamond" w:hAnsi="Garamond"/>
                <w:color w:val="000000"/>
                <w:sz w:val="16"/>
                <w:szCs w:val="16"/>
              </w:rPr>
            </w:pPr>
            <w:r w:rsidDel="00000000" w:rsidR="00000000" w:rsidRPr="00000000">
              <w:rPr>
                <w:rFonts w:ascii="Garamond" w:cs="Garamond" w:eastAsia="Garamond" w:hAnsi="Garamond"/>
                <w:color w:val="000000"/>
                <w:sz w:val="16"/>
                <w:szCs w:val="16"/>
                <w:rtl w:val="0"/>
              </w:rPr>
              <w:t xml:space="preserve">$557,</w:t>
            </w:r>
            <w:r w:rsidDel="00000000" w:rsidR="00000000" w:rsidRPr="00000000">
              <w:rPr>
                <w:rFonts w:ascii="Garamond" w:cs="Garamond" w:eastAsia="Garamond" w:hAnsi="Garamond"/>
                <w:sz w:val="16"/>
                <w:szCs w:val="16"/>
                <w:rtl w:val="0"/>
              </w:rPr>
              <w:t xml:space="preserve">820</w:t>
            </w:r>
            <w:r w:rsidDel="00000000" w:rsidR="00000000" w:rsidRPr="00000000">
              <w:rPr>
                <w:rFonts w:ascii="Garamond" w:cs="Garamond" w:eastAsia="Garamond" w:hAnsi="Garamond"/>
                <w:color w:val="000000"/>
                <w:sz w:val="16"/>
                <w:szCs w:val="16"/>
                <w:rtl w:val="0"/>
              </w:rPr>
              <w:t xml:space="preserve">,</w:t>
            </w:r>
            <w:r w:rsidDel="00000000" w:rsidR="00000000" w:rsidRPr="00000000">
              <w:rPr>
                <w:rFonts w:ascii="Garamond" w:cs="Garamond" w:eastAsia="Garamond" w:hAnsi="Garamond"/>
                <w:sz w:val="16"/>
                <w:szCs w:val="16"/>
                <w:rtl w:val="0"/>
              </w:rPr>
              <w:t xml:space="preserve">933</w:t>
            </w:r>
            <w:r w:rsidDel="00000000" w:rsidR="00000000" w:rsidRPr="00000000">
              <w:rPr>
                <w:rtl w:val="0"/>
              </w:rPr>
            </w:r>
          </w:p>
        </w:tc>
      </w:tr>
    </w:tbl>
    <w:p w:rsidR="00000000" w:rsidDel="00000000" w:rsidP="00000000" w:rsidRDefault="00000000" w:rsidRPr="00000000" w14:paraId="000003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left"/>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1B">
      <w:pPr>
        <w:keepNext w:val="0"/>
        <w:keepLines w:val="0"/>
        <w:pageBreakBefore w:val="0"/>
        <w:widowControl w:val="0"/>
        <w:numPr>
          <w:ilvl w:val="0"/>
          <w:numId w:val="10"/>
        </w:numPr>
        <w:pBdr>
          <w:top w:space="0" w:sz="0" w:val="nil"/>
          <w:left w:space="0" w:sz="0" w:val="nil"/>
          <w:bottom w:space="0" w:sz="0" w:val="nil"/>
          <w:right w:space="0" w:sz="0" w:val="nil"/>
          <w:between w:space="0" w:sz="0" w:val="nil"/>
        </w:pBdr>
        <w:shd w:fill="auto" w:val="clear"/>
        <w:tabs>
          <w:tab w:val="left" w:leader="none" w:pos="838"/>
          <w:tab w:val="left" w:leader="none" w:pos="839"/>
        </w:tabs>
        <w:spacing w:after="0" w:before="0" w:line="240" w:lineRule="auto"/>
        <w:ind w:left="402" w:right="0" w:hanging="284"/>
        <w:jc w:val="left"/>
        <w:rPr>
          <w:rFonts w:ascii="Garamond" w:cs="Garamond" w:eastAsia="Garamond" w:hAnsi="Garamond"/>
          <w:b w:val="1"/>
          <w:bCs w:val="1"/>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1"/>
          <w:bCs w:val="1"/>
          <w:sz w:val="24"/>
          <w:szCs w:val="24"/>
          <w:rtl w:val="0"/>
        </w:rPr>
        <w:t xml:space="preserve">ANÁLISIS</w:t>
      </w:r>
      <w:r w:rsidDel="00000000" w:rsidR="00000000" w:rsidRPr="00000000">
        <w:rPr>
          <w:rFonts w:ascii="Garamond" w:cs="Garamond" w:eastAsia="Garamond" w:hAnsi="Garamond"/>
          <w:b w:val="1"/>
          <w:bCs w:val="1"/>
          <w:i w:val="0"/>
          <w:iCs w:val="0"/>
          <w:smallCaps w:val="0"/>
          <w:strike w:val="0"/>
          <w:color w:val="000000"/>
          <w:sz w:val="24"/>
          <w:szCs w:val="24"/>
          <w:u w:val="none"/>
          <w:shd w:fill="auto" w:val="clear"/>
          <w:vertAlign w:val="baseline"/>
          <w:rtl w:val="0"/>
        </w:rPr>
        <w:t xml:space="preserve"> DE LA DEMANDA</w:t>
      </w:r>
    </w:p>
    <w:p w:rsidR="00000000" w:rsidDel="00000000" w:rsidP="00000000" w:rsidRDefault="00000000" w:rsidRPr="00000000" w14:paraId="0000031C">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838"/>
          <w:tab w:val="left" w:leader="none" w:pos="839"/>
        </w:tabs>
        <w:spacing w:after="0" w:before="0" w:line="240" w:lineRule="auto"/>
        <w:ind w:left="402" w:right="0" w:firstLine="0"/>
        <w:jc w:val="left"/>
        <w:rPr>
          <w:rFonts w:ascii="Garamond" w:cs="Garamond" w:eastAsia="Garamond" w:hAnsi="Garamond"/>
          <w:b w:val="1"/>
          <w:bCs w:val="1"/>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7" w:line="235" w:lineRule="auto"/>
        <w:ind w:left="118" w:right="134"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La Agencia Nacional de Contratación Pública – Colombia Compra Eficiente a adoptado la Metodología de Abastecimiento Estratégico – MAE como una de las herramientas de la Política de Compras y Contratación Pública de la gestión pública de desarrollar prácticas que permitan que el proceso de compra de las entidades sea transparente, eficiente y genere valor por dinero.</w:t>
      </w:r>
    </w:p>
    <w:p w:rsidR="00000000" w:rsidDel="00000000" w:rsidP="00000000" w:rsidRDefault="00000000" w:rsidRPr="00000000" w14:paraId="000003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Garamond" w:cs="Garamond" w:eastAsia="Garamond" w:hAnsi="Garamond"/>
          <w:b w:val="0"/>
          <w:bCs w:val="0"/>
          <w:i w:val="0"/>
          <w:iCs w:val="0"/>
          <w:smallCaps w:val="0"/>
          <w:strike w:val="0"/>
          <w:color w:val="000000"/>
          <w:sz w:val="23"/>
          <w:szCs w:val="23"/>
          <w:u w:val="none"/>
          <w:shd w:fill="auto" w:val="clear"/>
          <w:vertAlign w:val="baseline"/>
        </w:rPr>
      </w:pPr>
      <w:r w:rsidDel="00000000" w:rsidR="00000000" w:rsidRPr="00000000">
        <w:rPr>
          <w:rtl w:val="0"/>
        </w:rPr>
      </w:r>
    </w:p>
    <w:p w:rsidR="00000000" w:rsidDel="00000000" w:rsidP="00000000" w:rsidRDefault="00000000" w:rsidRPr="00000000" w14:paraId="000003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 w:lineRule="auto"/>
        <w:ind w:left="118" w:right="135"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Dentro de las fases que componen el MAE encontramos en la Fase 1 el Análisis de la Demanda que tiene como objetivo el análisis y entendimientos del comportamiento histórico de compras de la entidad pública, además realizar la proyección de compras futuras identificando categorías/familias que se consideran claves y estratégicas para la correcta ejecución del objeto contractual.</w:t>
      </w:r>
    </w:p>
    <w:p w:rsidR="00000000" w:rsidDel="00000000" w:rsidP="00000000" w:rsidRDefault="00000000" w:rsidRPr="00000000" w14:paraId="000003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0" w:lineRule="auto"/>
        <w:ind w:left="0" w:right="0" w:firstLine="0"/>
        <w:jc w:val="left"/>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 w:lineRule="auto"/>
        <w:ind w:left="118" w:right="134"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En este sentido y </w:t>
      </w:r>
      <w:r w:rsidDel="00000000" w:rsidR="00000000" w:rsidRPr="00000000">
        <w:rPr>
          <w:rFonts w:ascii="Garamond" w:cs="Garamond" w:eastAsia="Garamond" w:hAnsi="Garamond"/>
          <w:sz w:val="24"/>
          <w:szCs w:val="24"/>
          <w:rtl w:val="0"/>
        </w:rPr>
        <w:t xml:space="preserve">de acuerdo</w:t>
      </w: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 a la necesidad del Fondo de Desarrollo Local de San Cristóbal FDLSC, a continuación, desarrollamos el histórico para las categorías establecidas en la Tabla 1 Clasificador de Bienes y Servicios de Naciones Unidas (UNSPSC).</w:t>
      </w:r>
    </w:p>
    <w:p w:rsidR="00000000" w:rsidDel="00000000" w:rsidP="00000000" w:rsidRDefault="00000000" w:rsidRPr="00000000" w14:paraId="000003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23">
      <w:pPr>
        <w:pStyle w:val="Heading1"/>
        <w:numPr>
          <w:ilvl w:val="1"/>
          <w:numId w:val="10"/>
        </w:numPr>
        <w:tabs>
          <w:tab w:val="left" w:leader="none" w:pos="838"/>
          <w:tab w:val="left" w:leader="none" w:pos="839"/>
        </w:tabs>
        <w:spacing w:after="21" w:before="83" w:lineRule="auto"/>
        <w:ind w:left="838" w:hanging="720"/>
        <w:rPr>
          <w:rFonts w:ascii="Garamond" w:cs="Garamond" w:eastAsia="Garamond" w:hAnsi="Garamond"/>
        </w:rPr>
      </w:pPr>
      <w:r w:rsidDel="00000000" w:rsidR="00000000" w:rsidRPr="00000000">
        <w:rPr>
          <w:rFonts w:ascii="Garamond" w:cs="Garamond" w:eastAsia="Garamond" w:hAnsi="Garamond"/>
          <w:rtl w:val="0"/>
        </w:rPr>
        <w:t xml:space="preserve">Cubo de Gasto Nivel Nacional</w:t>
      </w:r>
    </w:p>
    <w:p w:rsidR="00000000" w:rsidDel="00000000" w:rsidP="00000000" w:rsidRDefault="00000000" w:rsidRPr="00000000" w14:paraId="00000324">
      <w:pPr>
        <w:pStyle w:val="Heading1"/>
        <w:tabs>
          <w:tab w:val="left" w:leader="none" w:pos="838"/>
          <w:tab w:val="left" w:leader="none" w:pos="839"/>
        </w:tabs>
        <w:ind w:left="119" w:firstLine="0"/>
        <w:rPr>
          <w:rFonts w:ascii="Garamond" w:cs="Garamond" w:eastAsia="Garamond" w:hAnsi="Garamond"/>
        </w:rPr>
      </w:pPr>
      <w:r w:rsidDel="00000000" w:rsidR="00000000" w:rsidRPr="00000000">
        <w:rPr>
          <w:rtl w:val="0"/>
        </w:rPr>
      </w:r>
    </w:p>
    <w:p w:rsidR="00000000" w:rsidDel="00000000" w:rsidP="00000000" w:rsidRDefault="00000000" w:rsidRPr="00000000" w14:paraId="00000325">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Entre el mes de enero y abril de 2026, las Entidades del Estado colombiano han adquirido bienes y/o servicios del grupo pertenecientes a los </w:t>
      </w:r>
      <w:r w:rsidDel="00000000" w:rsidR="00000000" w:rsidRPr="00000000">
        <w:rPr>
          <w:rFonts w:ascii="Garamond" w:cs="Garamond" w:eastAsia="Garamond" w:hAnsi="Garamond"/>
          <w:sz w:val="24"/>
          <w:szCs w:val="24"/>
          <w:rtl w:val="0"/>
        </w:rPr>
        <w:t xml:space="preserve">sectores “Sector de Tecnologías de la Información y las Comunicaciones (Sector TIC)”, “Actividades profesionales, científicas y técnicas”, “desarrollo social/educativo” y otras actividades de servicios</w:t>
      </w:r>
      <w:r w:rsidDel="00000000" w:rsidR="00000000" w:rsidRPr="00000000">
        <w:rPr>
          <w:rFonts w:ascii="Garamond" w:cs="Garamond" w:eastAsia="Garamond" w:hAnsi="Garamond"/>
          <w:rtl w:val="0"/>
        </w:rPr>
        <w:t xml:space="preserve">”</w:t>
      </w:r>
      <w:r w:rsidDel="00000000" w:rsidR="00000000" w:rsidRPr="00000000">
        <w:rPr>
          <w:rFonts w:ascii="Garamond" w:cs="Garamond" w:eastAsia="Garamond" w:hAnsi="Garamond"/>
          <w:sz w:val="24"/>
          <w:szCs w:val="24"/>
          <w:rtl w:val="0"/>
        </w:rPr>
        <w:t xml:space="preserve"> por valor de $ 2.477.413.154.576 billones</w:t>
      </w:r>
      <w:r w:rsidDel="00000000" w:rsidR="00000000" w:rsidRPr="00000000">
        <w:rPr>
          <w:rFonts w:ascii="Garamond" w:cs="Garamond" w:eastAsia="Garamond" w:hAnsi="Garamond"/>
          <w:sz w:val="24"/>
          <w:szCs w:val="24"/>
          <w:rtl w:val="0"/>
        </w:rPr>
        <w:t xml:space="preserve"> mediante la suscripción de 14.680 contratos según lo muestra los siguientes gráficos:</w:t>
      </w:r>
    </w:p>
    <w:p w:rsidR="00000000" w:rsidDel="00000000" w:rsidP="00000000" w:rsidRDefault="00000000" w:rsidRPr="00000000" w14:paraId="00000326">
      <w:pPr>
        <w:pStyle w:val="Heading1"/>
        <w:tabs>
          <w:tab w:val="left" w:leader="none" w:pos="838"/>
          <w:tab w:val="left" w:leader="none" w:pos="839"/>
        </w:tabs>
        <w:spacing w:after="21" w:before="83" w:lineRule="auto"/>
        <w:ind w:left="117" w:firstLine="0"/>
        <w:rPr>
          <w:rFonts w:ascii="Garamond" w:cs="Garamond" w:eastAsia="Garamond" w:hAnsi="Garamond"/>
        </w:rPr>
      </w:pPr>
      <w:r w:rsidDel="00000000" w:rsidR="00000000" w:rsidRPr="00000000">
        <w:rPr>
          <w:rtl w:val="0"/>
        </w:rPr>
      </w:r>
    </w:p>
    <w:p w:rsidR="00000000" w:rsidDel="00000000" w:rsidP="00000000" w:rsidRDefault="00000000" w:rsidRPr="00000000" w14:paraId="000003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bCs w:val="1"/>
          <w:i w:val="0"/>
          <w:iCs w:val="0"/>
          <w:smallCaps w:val="0"/>
          <w:strike w:val="0"/>
          <w:color w:val="000000"/>
          <w:sz w:val="20"/>
          <w:szCs w:val="20"/>
          <w:u w:val="none"/>
          <w:shd w:fill="auto" w:val="clear"/>
          <w:vertAlign w:val="baseline"/>
        </w:rPr>
      </w:pPr>
      <w:r w:rsidDel="00000000" w:rsidR="00000000" w:rsidRPr="00000000">
        <w:rPr>
          <w:b w:val="1"/>
          <w:bCs w:val="1"/>
          <w:sz w:val="24"/>
          <w:szCs w:val="24"/>
        </w:rPr>
        <w:drawing>
          <wp:inline distB="114300" distT="114300" distL="114300" distR="114300">
            <wp:extent cx="5520126" cy="3606482"/>
            <wp:effectExtent b="0" l="0" r="0" t="0"/>
            <wp:docPr id="13" name="image11.png"/>
            <a:graphic>
              <a:graphicData uri="http://schemas.openxmlformats.org/drawingml/2006/picture">
                <pic:pic>
                  <pic:nvPicPr>
                    <pic:cNvPr id="0" name="image11.png"/>
                    <pic:cNvPicPr preferRelativeResize="0"/>
                  </pic:nvPicPr>
                  <pic:blipFill>
                    <a:blip r:embed="rId40"/>
                    <a:srcRect b="0" l="0" r="0" t="0"/>
                    <a:stretch>
                      <a:fillRect/>
                    </a:stretch>
                  </pic:blipFill>
                  <pic:spPr>
                    <a:xfrm>
                      <a:off x="0" y="0"/>
                      <a:ext cx="5520126" cy="3606482"/>
                    </a:xfrm>
                    <a:prstGeom prst="rect"/>
                    <a:ln/>
                  </pic:spPr>
                </pic:pic>
              </a:graphicData>
            </a:graphic>
          </wp:inline>
        </w:drawing>
      </w:r>
      <w:r w:rsidDel="00000000" w:rsidR="00000000" w:rsidRPr="00000000">
        <w:rPr>
          <w:rtl w:val="0"/>
        </w:rPr>
      </w:r>
    </w:p>
    <w:p w:rsidR="00000000" w:rsidDel="00000000" w:rsidP="00000000" w:rsidRDefault="00000000" w:rsidRPr="00000000" w14:paraId="00000328">
      <w:pPr>
        <w:spacing w:before="35" w:lineRule="auto"/>
        <w:ind w:left="1544" w:right="1562" w:firstLine="0"/>
        <w:jc w:val="center"/>
        <w:rPr>
          <w:rFonts w:ascii="Garamond" w:cs="Garamond" w:eastAsia="Garamond" w:hAnsi="Garamond"/>
          <w:sz w:val="12"/>
          <w:szCs w:val="12"/>
        </w:rPr>
      </w:pPr>
      <w:r w:rsidDel="00000000" w:rsidR="00000000" w:rsidRPr="00000000">
        <w:rPr>
          <w:rFonts w:ascii="Garamond" w:cs="Garamond" w:eastAsia="Garamond" w:hAnsi="Garamond"/>
          <w:sz w:val="18"/>
          <w:szCs w:val="18"/>
          <w:rtl w:val="0"/>
        </w:rPr>
        <w:t xml:space="preserve">Fuente Colombia Compra Eficiente MAE – Análisis de la Demanda </w:t>
      </w:r>
      <w:r w:rsidDel="00000000" w:rsidR="00000000" w:rsidRPr="00000000">
        <w:rPr>
          <w:rFonts w:ascii="Garamond" w:cs="Garamond" w:eastAsia="Garamond" w:hAnsi="Garamond"/>
          <w:sz w:val="18"/>
          <w:szCs w:val="18"/>
          <w:vertAlign w:val="superscript"/>
        </w:rPr>
        <w:footnoteReference w:customMarkFollows="0" w:id="14"/>
      </w:r>
      <w:r w:rsidDel="00000000" w:rsidR="00000000" w:rsidRPr="00000000">
        <w:rPr>
          <w:rtl w:val="0"/>
        </w:rPr>
      </w:r>
    </w:p>
    <w:p w:rsidR="00000000" w:rsidDel="00000000" w:rsidP="00000000" w:rsidRDefault="00000000" w:rsidRPr="00000000" w14:paraId="000003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sz w:val="17"/>
          <w:szCs w:val="17"/>
        </w:rPr>
      </w:pPr>
      <w:r w:rsidDel="00000000" w:rsidR="00000000" w:rsidRPr="00000000">
        <w:rPr>
          <w:rtl w:val="0"/>
        </w:rPr>
      </w:r>
    </w:p>
    <w:p w:rsidR="00000000" w:rsidDel="00000000" w:rsidP="00000000" w:rsidRDefault="00000000" w:rsidRPr="00000000" w14:paraId="000003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sz w:val="17"/>
          <w:szCs w:val="17"/>
        </w:rPr>
      </w:pPr>
      <w:r w:rsidDel="00000000" w:rsidR="00000000" w:rsidRPr="00000000">
        <w:rPr>
          <w:rtl w:val="0"/>
        </w:rPr>
      </w:r>
    </w:p>
    <w:p w:rsidR="00000000" w:rsidDel="00000000" w:rsidP="00000000" w:rsidRDefault="00000000" w:rsidRPr="00000000" w14:paraId="000003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sz w:val="17"/>
          <w:szCs w:val="17"/>
        </w:rPr>
      </w:pPr>
      <w:r w:rsidDel="00000000" w:rsidR="00000000" w:rsidRPr="00000000">
        <w:rPr>
          <w:rtl w:val="0"/>
        </w:rPr>
      </w:r>
    </w:p>
    <w:p w:rsidR="00000000" w:rsidDel="00000000" w:rsidP="00000000" w:rsidRDefault="00000000" w:rsidRPr="00000000" w14:paraId="000003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sz w:val="17"/>
          <w:szCs w:val="17"/>
        </w:rPr>
      </w:pPr>
      <w:r w:rsidDel="00000000" w:rsidR="00000000" w:rsidRPr="00000000">
        <w:rPr>
          <w:rtl w:val="0"/>
        </w:rPr>
      </w:r>
    </w:p>
    <w:p w:rsidR="00000000" w:rsidDel="00000000" w:rsidP="00000000" w:rsidRDefault="00000000" w:rsidRPr="00000000" w14:paraId="0000032D">
      <w:pPr>
        <w:pStyle w:val="Heading1"/>
        <w:tabs>
          <w:tab w:val="left" w:leader="none" w:pos="838"/>
          <w:tab w:val="left" w:leader="none" w:pos="839"/>
        </w:tabs>
        <w:spacing w:after="21" w:before="83" w:lineRule="auto"/>
        <w:ind w:firstLine="838"/>
        <w:rPr>
          <w:rFonts w:ascii="Garamond" w:cs="Garamond" w:eastAsia="Garamond" w:hAnsi="Garamond"/>
          <w:b w:val="0"/>
          <w:bCs w:val="0"/>
          <w:sz w:val="17"/>
          <w:szCs w:val="17"/>
        </w:rPr>
      </w:pPr>
      <w:r w:rsidDel="00000000" w:rsidR="00000000" w:rsidRPr="00000000">
        <w:rPr>
          <w:rtl w:val="0"/>
        </w:rPr>
      </w:r>
    </w:p>
    <w:p w:rsidR="00000000" w:rsidDel="00000000" w:rsidP="00000000" w:rsidRDefault="00000000" w:rsidRPr="00000000" w14:paraId="0000032E">
      <w:pPr>
        <w:tabs>
          <w:tab w:val="left" w:leader="none" w:pos="838"/>
          <w:tab w:val="left" w:leader="none" w:pos="839"/>
        </w:tabs>
        <w:rPr/>
      </w:pPr>
      <w:r w:rsidDel="00000000" w:rsidR="00000000" w:rsidRPr="00000000">
        <w:rPr>
          <w:rtl w:val="0"/>
        </w:rPr>
      </w:r>
    </w:p>
    <w:p w:rsidR="00000000" w:rsidDel="00000000" w:rsidP="00000000" w:rsidRDefault="00000000" w:rsidRPr="00000000" w14:paraId="0000032F">
      <w:pPr>
        <w:tabs>
          <w:tab w:val="left" w:leader="none" w:pos="838"/>
          <w:tab w:val="left" w:leader="none" w:pos="839"/>
        </w:tabs>
        <w:rPr/>
      </w:pPr>
      <w:r w:rsidDel="00000000" w:rsidR="00000000" w:rsidRPr="00000000">
        <w:rPr>
          <w:rtl w:val="0"/>
        </w:rPr>
      </w:r>
    </w:p>
    <w:p w:rsidR="00000000" w:rsidDel="00000000" w:rsidP="00000000" w:rsidRDefault="00000000" w:rsidRPr="00000000" w14:paraId="00000330">
      <w:pPr>
        <w:pStyle w:val="Heading1"/>
        <w:numPr>
          <w:ilvl w:val="1"/>
          <w:numId w:val="10"/>
        </w:numPr>
        <w:tabs>
          <w:tab w:val="left" w:leader="none" w:pos="838"/>
          <w:tab w:val="left" w:leader="none" w:pos="839"/>
        </w:tabs>
        <w:spacing w:after="21" w:before="83" w:lineRule="auto"/>
        <w:ind w:left="838" w:hanging="721"/>
        <w:rPr>
          <w:rFonts w:ascii="Garamond" w:cs="Garamond" w:eastAsia="Garamond" w:hAnsi="Garamond"/>
        </w:rPr>
      </w:pPr>
      <w:r w:rsidDel="00000000" w:rsidR="00000000" w:rsidRPr="00000000">
        <w:rPr>
          <w:rFonts w:ascii="Garamond" w:cs="Garamond" w:eastAsia="Garamond" w:hAnsi="Garamond"/>
          <w:rtl w:val="0"/>
        </w:rPr>
        <w:t xml:space="preserve">Cantidad de Contratos – SECOP I y II</w:t>
      </w:r>
    </w:p>
    <w:p w:rsidR="00000000" w:rsidDel="00000000" w:rsidP="00000000" w:rsidRDefault="00000000" w:rsidRPr="00000000" w14:paraId="00000331">
      <w:pPr>
        <w:tabs>
          <w:tab w:val="left" w:leader="none" w:pos="838"/>
          <w:tab w:val="left" w:leader="none" w:pos="839"/>
        </w:tabs>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923925</wp:posOffset>
            </wp:positionH>
            <wp:positionV relativeFrom="paragraph">
              <wp:posOffset>151116</wp:posOffset>
            </wp:positionV>
            <wp:extent cx="4075113" cy="2669288"/>
            <wp:effectExtent b="0" l="0" r="0" t="0"/>
            <wp:wrapSquare wrapText="bothSides" distB="114300" distT="114300" distL="114300" distR="114300"/>
            <wp:docPr id="32" name="image23.png"/>
            <a:graphic>
              <a:graphicData uri="http://schemas.openxmlformats.org/drawingml/2006/picture">
                <pic:pic>
                  <pic:nvPicPr>
                    <pic:cNvPr id="0" name="image23.png"/>
                    <pic:cNvPicPr preferRelativeResize="0"/>
                  </pic:nvPicPr>
                  <pic:blipFill>
                    <a:blip r:embed="rId41"/>
                    <a:srcRect b="0" l="0" r="0" t="0"/>
                    <a:stretch>
                      <a:fillRect/>
                    </a:stretch>
                  </pic:blipFill>
                  <pic:spPr>
                    <a:xfrm>
                      <a:off x="0" y="0"/>
                      <a:ext cx="4075113" cy="2669288"/>
                    </a:xfrm>
                    <a:prstGeom prst="rect"/>
                    <a:ln/>
                  </pic:spPr>
                </pic:pic>
              </a:graphicData>
            </a:graphic>
          </wp:anchor>
        </w:drawing>
      </w:r>
    </w:p>
    <w:p w:rsidR="00000000" w:rsidDel="00000000" w:rsidP="00000000" w:rsidRDefault="00000000" w:rsidRPr="00000000" w14:paraId="00000332">
      <w:pPr>
        <w:tabs>
          <w:tab w:val="left" w:leader="none" w:pos="838"/>
          <w:tab w:val="left" w:leader="none" w:pos="839"/>
        </w:tabs>
        <w:rPr/>
      </w:pPr>
      <w:r w:rsidDel="00000000" w:rsidR="00000000" w:rsidRPr="00000000">
        <w:rPr>
          <w:rtl w:val="0"/>
        </w:rPr>
      </w:r>
    </w:p>
    <w:p w:rsidR="00000000" w:rsidDel="00000000" w:rsidP="00000000" w:rsidRDefault="00000000" w:rsidRPr="00000000" w14:paraId="00000333">
      <w:pPr>
        <w:tabs>
          <w:tab w:val="left" w:leader="none" w:pos="838"/>
          <w:tab w:val="left" w:leader="none" w:pos="839"/>
        </w:tabs>
        <w:ind w:left="402" w:firstLine="0"/>
        <w:rPr/>
      </w:pPr>
      <w:r w:rsidDel="00000000" w:rsidR="00000000" w:rsidRPr="00000000">
        <w:rPr>
          <w:rtl w:val="0"/>
        </w:rPr>
      </w:r>
    </w:p>
    <w:p w:rsidR="00000000" w:rsidDel="00000000" w:rsidP="00000000" w:rsidRDefault="00000000" w:rsidRPr="00000000" w14:paraId="00000334">
      <w:pPr>
        <w:pStyle w:val="Heading1"/>
        <w:tabs>
          <w:tab w:val="left" w:leader="none" w:pos="2410"/>
        </w:tabs>
        <w:spacing w:after="21" w:before="83" w:lineRule="auto"/>
        <w:ind w:left="0" w:firstLine="0"/>
        <w:jc w:val="center"/>
        <w:rPr>
          <w:b w:val="0"/>
          <w:bCs w:val="0"/>
        </w:rPr>
      </w:pPr>
      <w:r w:rsidDel="00000000" w:rsidR="00000000" w:rsidRPr="00000000">
        <w:rPr>
          <w:rtl w:val="0"/>
        </w:rPr>
      </w:r>
    </w:p>
    <w:p w:rsidR="00000000" w:rsidDel="00000000" w:rsidP="00000000" w:rsidRDefault="00000000" w:rsidRPr="00000000" w14:paraId="00000335">
      <w:pPr>
        <w:spacing w:before="35" w:lineRule="auto"/>
        <w:ind w:left="1544" w:right="1562" w:firstLine="0"/>
        <w:jc w:val="center"/>
        <w:rPr>
          <w:rFonts w:ascii="Garamond" w:cs="Garamond" w:eastAsia="Garamond" w:hAnsi="Garamond"/>
          <w:sz w:val="12"/>
          <w:szCs w:val="12"/>
        </w:rPr>
      </w:pPr>
      <w:r w:rsidDel="00000000" w:rsidR="00000000" w:rsidRPr="00000000">
        <w:rPr>
          <w:rFonts w:ascii="Garamond" w:cs="Garamond" w:eastAsia="Garamond" w:hAnsi="Garamond"/>
          <w:sz w:val="18"/>
          <w:szCs w:val="18"/>
          <w:rtl w:val="0"/>
        </w:rPr>
        <w:t xml:space="preserve">Fuente Colombia Compra Eficiente MAE – Análisis de la Demanda </w:t>
      </w:r>
      <w:r w:rsidDel="00000000" w:rsidR="00000000" w:rsidRPr="00000000">
        <w:rPr>
          <w:rFonts w:ascii="Garamond" w:cs="Garamond" w:eastAsia="Garamond" w:hAnsi="Garamond"/>
          <w:sz w:val="18"/>
          <w:szCs w:val="18"/>
          <w:vertAlign w:val="superscript"/>
        </w:rPr>
        <w:footnoteReference w:customMarkFollows="0" w:id="15"/>
      </w:r>
      <w:r w:rsidDel="00000000" w:rsidR="00000000" w:rsidRPr="00000000">
        <w:rPr>
          <w:rtl w:val="0"/>
        </w:rPr>
      </w:r>
    </w:p>
    <w:p w:rsidR="00000000" w:rsidDel="00000000" w:rsidP="00000000" w:rsidRDefault="00000000" w:rsidRPr="00000000" w14:paraId="00000336">
      <w:pPr>
        <w:pStyle w:val="Heading1"/>
        <w:numPr>
          <w:ilvl w:val="1"/>
          <w:numId w:val="10"/>
        </w:numPr>
        <w:tabs>
          <w:tab w:val="left" w:leader="none" w:pos="838"/>
          <w:tab w:val="left" w:leader="none" w:pos="839"/>
        </w:tabs>
        <w:spacing w:after="21" w:before="83" w:lineRule="auto"/>
        <w:ind w:left="838" w:hanging="721"/>
        <w:rPr>
          <w:rFonts w:ascii="Garamond" w:cs="Garamond" w:eastAsia="Garamond" w:hAnsi="Garamond"/>
          <w:sz w:val="20"/>
          <w:szCs w:val="20"/>
        </w:rPr>
      </w:pPr>
      <w:r w:rsidDel="00000000" w:rsidR="00000000" w:rsidRPr="00000000">
        <w:rPr>
          <w:rFonts w:ascii="Garamond" w:cs="Garamond" w:eastAsia="Garamond" w:hAnsi="Garamond"/>
          <w:rtl w:val="0"/>
        </w:rPr>
        <w:t xml:space="preserve">Valor Estimado por Familia</w:t>
      </w:r>
      <w:r w:rsidDel="00000000" w:rsidR="00000000" w:rsidRPr="00000000">
        <w:rPr>
          <w:rtl w:val="0"/>
        </w:rPr>
      </w:r>
    </w:p>
    <w:p w:rsidR="00000000" w:rsidDel="00000000" w:rsidP="00000000" w:rsidRDefault="00000000" w:rsidRPr="00000000" w14:paraId="000003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Garamond" w:cs="Garamond" w:eastAsia="Garamond" w:hAnsi="Garamond"/>
          <w:sz w:val="10"/>
          <w:szCs w:val="1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104776</wp:posOffset>
            </wp:positionH>
            <wp:positionV relativeFrom="paragraph">
              <wp:posOffset>140017</wp:posOffset>
            </wp:positionV>
            <wp:extent cx="6027412" cy="1935811"/>
            <wp:effectExtent b="0" l="0" r="0" t="0"/>
            <wp:wrapSquare wrapText="bothSides" distB="114300" distT="114300" distL="114300" distR="114300"/>
            <wp:docPr id="15" name="image20.png"/>
            <a:graphic>
              <a:graphicData uri="http://schemas.openxmlformats.org/drawingml/2006/picture">
                <pic:pic>
                  <pic:nvPicPr>
                    <pic:cNvPr id="0" name="image20.png"/>
                    <pic:cNvPicPr preferRelativeResize="0"/>
                  </pic:nvPicPr>
                  <pic:blipFill>
                    <a:blip r:embed="rId42"/>
                    <a:srcRect b="0" l="0" r="0" t="0"/>
                    <a:stretch>
                      <a:fillRect/>
                    </a:stretch>
                  </pic:blipFill>
                  <pic:spPr>
                    <a:xfrm>
                      <a:off x="0" y="0"/>
                      <a:ext cx="6027412" cy="1935811"/>
                    </a:xfrm>
                    <a:prstGeom prst="rect"/>
                    <a:ln/>
                  </pic:spPr>
                </pic:pic>
              </a:graphicData>
            </a:graphic>
          </wp:anchor>
        </w:drawing>
      </w:r>
    </w:p>
    <w:p w:rsidR="00000000" w:rsidDel="00000000" w:rsidP="00000000" w:rsidRDefault="00000000" w:rsidRPr="00000000" w14:paraId="00000338">
      <w:pPr>
        <w:spacing w:before="35" w:lineRule="auto"/>
        <w:ind w:left="1544" w:right="1562" w:firstLine="0"/>
        <w:jc w:val="center"/>
        <w:rPr>
          <w:rFonts w:ascii="Garamond" w:cs="Garamond" w:eastAsia="Garamond" w:hAnsi="Garamond"/>
        </w:rPr>
      </w:pPr>
      <w:r w:rsidDel="00000000" w:rsidR="00000000" w:rsidRPr="00000000">
        <w:rPr>
          <w:rFonts w:ascii="Garamond" w:cs="Garamond" w:eastAsia="Garamond" w:hAnsi="Garamond"/>
          <w:sz w:val="18"/>
          <w:szCs w:val="18"/>
          <w:rtl w:val="0"/>
        </w:rPr>
        <w:t xml:space="preserve">Fuente Colombia Compra Eficiente MAE – Análisis de la Demanda </w:t>
      </w:r>
      <w:r w:rsidDel="00000000" w:rsidR="00000000" w:rsidRPr="00000000">
        <w:rPr>
          <w:rFonts w:ascii="Garamond" w:cs="Garamond" w:eastAsia="Garamond" w:hAnsi="Garamond"/>
          <w:sz w:val="18"/>
          <w:szCs w:val="18"/>
          <w:vertAlign w:val="superscript"/>
        </w:rPr>
        <w:footnoteReference w:customMarkFollows="0" w:id="16"/>
      </w:r>
      <w:r w:rsidDel="00000000" w:rsidR="00000000" w:rsidRPr="00000000">
        <w:rPr>
          <w:rtl w:val="0"/>
        </w:rPr>
      </w:r>
    </w:p>
    <w:p w:rsidR="00000000" w:rsidDel="00000000" w:rsidP="00000000" w:rsidRDefault="00000000" w:rsidRPr="00000000" w14:paraId="000003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La distribución por valores de cada año ha tenido el siguiente comportamiento:</w:t>
      </w:r>
    </w:p>
    <w:p w:rsidR="00000000" w:rsidDel="00000000" w:rsidP="00000000" w:rsidRDefault="00000000" w:rsidRPr="00000000" w14:paraId="000003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942975</wp:posOffset>
            </wp:positionH>
            <wp:positionV relativeFrom="paragraph">
              <wp:posOffset>171450</wp:posOffset>
            </wp:positionV>
            <wp:extent cx="4170363" cy="2049537"/>
            <wp:effectExtent b="0" l="0" r="0" t="0"/>
            <wp:wrapSquare wrapText="bothSides" distB="114300" distT="114300" distL="114300" distR="114300"/>
            <wp:docPr id="24" name="image10.png"/>
            <a:graphic>
              <a:graphicData uri="http://schemas.openxmlformats.org/drawingml/2006/picture">
                <pic:pic>
                  <pic:nvPicPr>
                    <pic:cNvPr id="0" name="image10.png"/>
                    <pic:cNvPicPr preferRelativeResize="0"/>
                  </pic:nvPicPr>
                  <pic:blipFill>
                    <a:blip r:embed="rId43"/>
                    <a:srcRect b="0" l="0" r="0" t="0"/>
                    <a:stretch>
                      <a:fillRect/>
                    </a:stretch>
                  </pic:blipFill>
                  <pic:spPr>
                    <a:xfrm>
                      <a:off x="0" y="0"/>
                      <a:ext cx="4170363" cy="2049537"/>
                    </a:xfrm>
                    <a:prstGeom prst="rect"/>
                    <a:ln/>
                  </pic:spPr>
                </pic:pic>
              </a:graphicData>
            </a:graphic>
          </wp:anchor>
        </w:drawing>
      </w:r>
    </w:p>
    <w:p w:rsidR="00000000" w:rsidDel="00000000" w:rsidP="00000000" w:rsidRDefault="00000000" w:rsidRPr="00000000" w14:paraId="000003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48">
      <w:pPr>
        <w:spacing w:before="35" w:lineRule="auto"/>
        <w:ind w:left="1544" w:right="1562" w:firstLine="0"/>
        <w:jc w:val="center"/>
        <w:rPr>
          <w:rFonts w:ascii="Garamond" w:cs="Garamond" w:eastAsia="Garamond" w:hAnsi="Garamond"/>
        </w:rPr>
      </w:pPr>
      <w:r w:rsidDel="00000000" w:rsidR="00000000" w:rsidRPr="00000000">
        <w:rPr>
          <w:rFonts w:ascii="Garamond" w:cs="Garamond" w:eastAsia="Garamond" w:hAnsi="Garamond"/>
          <w:sz w:val="18"/>
          <w:szCs w:val="18"/>
          <w:rtl w:val="0"/>
        </w:rPr>
        <w:t xml:space="preserve">Fuente Colombia Compra Eficiente MAE – Análisis de la Demanda </w:t>
      </w:r>
      <w:r w:rsidDel="00000000" w:rsidR="00000000" w:rsidRPr="00000000">
        <w:rPr>
          <w:rFonts w:ascii="Garamond" w:cs="Garamond" w:eastAsia="Garamond" w:hAnsi="Garamond"/>
          <w:sz w:val="18"/>
          <w:szCs w:val="18"/>
          <w:vertAlign w:val="superscript"/>
        </w:rPr>
        <w:footnoteReference w:customMarkFollows="0" w:id="17"/>
      </w:r>
      <w:r w:rsidDel="00000000" w:rsidR="00000000" w:rsidRPr="00000000">
        <w:rPr>
          <w:rtl w:val="0"/>
        </w:rPr>
      </w:r>
    </w:p>
    <w:p w:rsidR="00000000" w:rsidDel="00000000" w:rsidP="00000000" w:rsidRDefault="00000000" w:rsidRPr="00000000" w14:paraId="000003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left"/>
        <w:rPr>
          <w:rFonts w:ascii="Garamond" w:cs="Garamond" w:eastAsia="Garamond" w:hAnsi="Garamond"/>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4A">
      <w:pPr>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Se aclara que la información disponible, corresponde al periodo comprendido entre el 1 de enero y 30 de abril de 2026.</w:t>
      </w:r>
    </w:p>
    <w:p w:rsidR="00000000" w:rsidDel="00000000" w:rsidP="00000000" w:rsidRDefault="00000000" w:rsidRPr="00000000" w14:paraId="0000034B">
      <w:pPr>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4C">
      <w:pPr>
        <w:pStyle w:val="Heading1"/>
        <w:numPr>
          <w:ilvl w:val="1"/>
          <w:numId w:val="10"/>
        </w:numPr>
        <w:tabs>
          <w:tab w:val="left" w:leader="none" w:pos="839"/>
        </w:tabs>
        <w:spacing w:before="83" w:lineRule="auto"/>
        <w:ind w:left="838" w:hanging="721"/>
        <w:jc w:val="both"/>
        <w:rPr>
          <w:rFonts w:ascii="Garamond" w:cs="Garamond" w:eastAsia="Garamond" w:hAnsi="Garamond"/>
        </w:rPr>
      </w:pPr>
      <w:r w:rsidDel="00000000" w:rsidR="00000000" w:rsidRPr="00000000">
        <w:rPr>
          <w:rFonts w:ascii="Garamond" w:cs="Garamond" w:eastAsia="Garamond" w:hAnsi="Garamond"/>
          <w:rtl w:val="0"/>
        </w:rPr>
        <w:t xml:space="preserve">Valor Total por Modalidad de Selección</w:t>
      </w:r>
    </w:p>
    <w:p w:rsidR="00000000" w:rsidDel="00000000" w:rsidP="00000000" w:rsidRDefault="00000000" w:rsidRPr="00000000" w14:paraId="0000034D">
      <w:pPr>
        <w:tabs>
          <w:tab w:val="left" w:leader="none" w:pos="839"/>
        </w:tabs>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638175</wp:posOffset>
            </wp:positionH>
            <wp:positionV relativeFrom="paragraph">
              <wp:posOffset>123825</wp:posOffset>
            </wp:positionV>
            <wp:extent cx="4977346" cy="2047875"/>
            <wp:effectExtent b="0" l="0" r="0" t="0"/>
            <wp:wrapSquare wrapText="bothSides" distB="114300" distT="114300" distL="114300" distR="114300"/>
            <wp:docPr id="11" name="image9.png"/>
            <a:graphic>
              <a:graphicData uri="http://schemas.openxmlformats.org/drawingml/2006/picture">
                <pic:pic>
                  <pic:nvPicPr>
                    <pic:cNvPr id="0" name="image9.png"/>
                    <pic:cNvPicPr preferRelativeResize="0"/>
                  </pic:nvPicPr>
                  <pic:blipFill>
                    <a:blip r:embed="rId44"/>
                    <a:srcRect b="0" l="0" r="0" t="0"/>
                    <a:stretch>
                      <a:fillRect/>
                    </a:stretch>
                  </pic:blipFill>
                  <pic:spPr>
                    <a:xfrm>
                      <a:off x="0" y="0"/>
                      <a:ext cx="4977346" cy="2047875"/>
                    </a:xfrm>
                    <a:prstGeom prst="rect"/>
                    <a:ln/>
                  </pic:spPr>
                </pic:pic>
              </a:graphicData>
            </a:graphic>
          </wp:anchor>
        </w:drawing>
      </w:r>
    </w:p>
    <w:p w:rsidR="00000000" w:rsidDel="00000000" w:rsidP="00000000" w:rsidRDefault="00000000" w:rsidRPr="00000000" w14:paraId="0000034E">
      <w:pPr>
        <w:tabs>
          <w:tab w:val="left" w:leader="none" w:pos="839"/>
        </w:tabs>
        <w:rPr/>
      </w:pPr>
      <w:r w:rsidDel="00000000" w:rsidR="00000000" w:rsidRPr="00000000">
        <w:rPr>
          <w:rtl w:val="0"/>
        </w:rPr>
      </w:r>
    </w:p>
    <w:p w:rsidR="00000000" w:rsidDel="00000000" w:rsidP="00000000" w:rsidRDefault="00000000" w:rsidRPr="00000000" w14:paraId="000003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left"/>
        <w:rPr>
          <w:rFonts w:ascii="Garamond" w:cs="Garamond" w:eastAsia="Garamond" w:hAnsi="Garamond"/>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50">
      <w:pPr>
        <w:spacing w:before="35" w:lineRule="auto"/>
        <w:ind w:left="0" w:right="1562" w:firstLine="0"/>
        <w:jc w:val="left"/>
        <w:rPr>
          <w:rFonts w:ascii="Garamond" w:cs="Garamond" w:eastAsia="Garamond" w:hAnsi="Garamond"/>
          <w:sz w:val="18"/>
          <w:szCs w:val="18"/>
        </w:rPr>
      </w:pPr>
      <w:r w:rsidDel="00000000" w:rsidR="00000000" w:rsidRPr="00000000">
        <w:rPr>
          <w:rtl w:val="0"/>
        </w:rPr>
      </w:r>
    </w:p>
    <w:p w:rsidR="00000000" w:rsidDel="00000000" w:rsidP="00000000" w:rsidRDefault="00000000" w:rsidRPr="00000000" w14:paraId="00000351">
      <w:pPr>
        <w:spacing w:before="35" w:lineRule="auto"/>
        <w:ind w:left="1544" w:right="1562" w:firstLine="0"/>
        <w:jc w:val="center"/>
        <w:rPr>
          <w:rFonts w:ascii="Garamond" w:cs="Garamond" w:eastAsia="Garamond" w:hAnsi="Garamond"/>
          <w:sz w:val="18"/>
          <w:szCs w:val="18"/>
          <w:vertAlign w:val="superscript"/>
        </w:rPr>
      </w:pPr>
      <w:r w:rsidDel="00000000" w:rsidR="00000000" w:rsidRPr="00000000">
        <w:rPr>
          <w:rFonts w:ascii="Garamond" w:cs="Garamond" w:eastAsia="Garamond" w:hAnsi="Garamond"/>
          <w:sz w:val="18"/>
          <w:szCs w:val="18"/>
          <w:rtl w:val="0"/>
        </w:rPr>
        <w:t xml:space="preserve">Fuente Colombia Compra Eficiente MAE – Análisis de la Demanda </w:t>
      </w:r>
      <w:r w:rsidDel="00000000" w:rsidR="00000000" w:rsidRPr="00000000">
        <w:rPr>
          <w:rFonts w:ascii="Garamond" w:cs="Garamond" w:eastAsia="Garamond" w:hAnsi="Garamond"/>
          <w:sz w:val="18"/>
          <w:szCs w:val="18"/>
          <w:vertAlign w:val="superscript"/>
        </w:rPr>
        <w:footnoteReference w:customMarkFollows="0" w:id="18"/>
      </w:r>
      <w:r w:rsidDel="00000000" w:rsidR="00000000" w:rsidRPr="00000000">
        <w:rPr>
          <w:rtl w:val="0"/>
        </w:rPr>
      </w:r>
    </w:p>
    <w:p w:rsidR="00000000" w:rsidDel="00000000" w:rsidP="00000000" w:rsidRDefault="00000000" w:rsidRPr="00000000" w14:paraId="00000352">
      <w:pPr>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53">
      <w:pPr>
        <w:jc w:val="both"/>
        <w:rPr>
          <w:rFonts w:ascii="Garamond" w:cs="Garamond" w:eastAsia="Garamond" w:hAnsi="Garamond"/>
          <w:sz w:val="12"/>
          <w:szCs w:val="12"/>
        </w:rPr>
      </w:pPr>
      <w:r w:rsidDel="00000000" w:rsidR="00000000" w:rsidRPr="00000000">
        <w:rPr>
          <w:rFonts w:ascii="Garamond" w:cs="Garamond" w:eastAsia="Garamond" w:hAnsi="Garamond"/>
          <w:sz w:val="24"/>
          <w:szCs w:val="24"/>
          <w:rtl w:val="0"/>
        </w:rPr>
        <w:t xml:space="preserve">La modalidad de selección competitiva más usada es la a través contratación directa con un valor contratado de $1,32 billones de pesos, seguida por la selección abreviada de menor cuantía.</w:t>
      </w:r>
      <w:r w:rsidDel="00000000" w:rsidR="00000000" w:rsidRPr="00000000">
        <w:rPr>
          <w:rtl w:val="0"/>
        </w:rPr>
      </w:r>
    </w:p>
    <w:p w:rsidR="00000000" w:rsidDel="00000000" w:rsidP="00000000" w:rsidRDefault="00000000" w:rsidRPr="00000000" w14:paraId="00000354">
      <w:pPr>
        <w:spacing w:before="1" w:line="204" w:lineRule="auto"/>
        <w:ind w:left="1544" w:right="1562" w:firstLine="0"/>
        <w:jc w:val="center"/>
        <w:rPr>
          <w:rFonts w:ascii="Garamond" w:cs="Garamond" w:eastAsia="Garamond" w:hAnsi="Garamond"/>
          <w:sz w:val="12"/>
          <w:szCs w:val="12"/>
        </w:rPr>
      </w:pPr>
      <w:r w:rsidDel="00000000" w:rsidR="00000000" w:rsidRPr="00000000">
        <w:rPr>
          <w:rtl w:val="0"/>
        </w:rPr>
      </w:r>
    </w:p>
    <w:p w:rsidR="00000000" w:rsidDel="00000000" w:rsidP="00000000" w:rsidRDefault="00000000" w:rsidRPr="00000000" w14:paraId="00000355">
      <w:pPr>
        <w:pStyle w:val="Heading1"/>
        <w:numPr>
          <w:ilvl w:val="1"/>
          <w:numId w:val="10"/>
        </w:numPr>
        <w:tabs>
          <w:tab w:val="left" w:leader="none" w:pos="479"/>
        </w:tabs>
        <w:spacing w:line="470" w:lineRule="auto"/>
        <w:ind w:left="838" w:right="1752" w:hanging="720"/>
        <w:jc w:val="both"/>
        <w:rPr>
          <w:rFonts w:ascii="Garamond" w:cs="Garamond" w:eastAsia="Garamond" w:hAnsi="Garamond"/>
        </w:rPr>
      </w:pPr>
      <w:r w:rsidDel="00000000" w:rsidR="00000000" w:rsidRPr="00000000">
        <w:rPr>
          <w:rFonts w:ascii="Garamond" w:cs="Garamond" w:eastAsia="Garamond" w:hAnsi="Garamond"/>
          <w:rtl w:val="0"/>
        </w:rPr>
        <w:t xml:space="preserve">Comportamiento del Gasto Histórico Otras Entidades </w:t>
      </w:r>
    </w:p>
    <w:p w:rsidR="00000000" w:rsidDel="00000000" w:rsidP="00000000" w:rsidRDefault="00000000" w:rsidRPr="00000000" w14:paraId="00000356">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Las entidades a nivel Nacional han adquirido sus bienes y servicios a través de las modalidades de selección competitiva, acorde a las necesidades y presupuesto de la Entidad, con una empresa privada legalmente constituida, así</w:t>
      </w:r>
    </w:p>
    <w:p w:rsidR="00000000" w:rsidDel="00000000" w:rsidP="00000000" w:rsidRDefault="00000000" w:rsidRPr="00000000" w14:paraId="00000357">
      <w:pPr>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58">
      <w:pPr>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59">
      <w:pPr>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5A">
      <w:pPr>
        <w:jc w:val="both"/>
        <w:rPr>
          <w:rFonts w:ascii="Garamond" w:cs="Garamond" w:eastAsia="Garamond" w:hAnsi="Garamond"/>
          <w:sz w:val="24"/>
          <w:szCs w:val="24"/>
        </w:rPr>
      </w:pPr>
      <w:r w:rsidDel="00000000" w:rsidR="00000000" w:rsidRPr="00000000">
        <w:rPr>
          <w:rFonts w:ascii="Garamond" w:cs="Garamond" w:eastAsia="Garamond" w:hAnsi="Garamond"/>
          <w:sz w:val="24"/>
          <w:szCs w:val="24"/>
        </w:rPr>
        <w:drawing>
          <wp:inline distB="114300" distT="114300" distL="114300" distR="114300">
            <wp:extent cx="6134100" cy="2324100"/>
            <wp:effectExtent b="0" l="0" r="0" t="0"/>
            <wp:docPr id="6" name="image14.png"/>
            <a:graphic>
              <a:graphicData uri="http://schemas.openxmlformats.org/drawingml/2006/picture">
                <pic:pic>
                  <pic:nvPicPr>
                    <pic:cNvPr id="0" name="image14.png"/>
                    <pic:cNvPicPr preferRelativeResize="0"/>
                  </pic:nvPicPr>
                  <pic:blipFill>
                    <a:blip r:embed="rId45"/>
                    <a:srcRect b="0" l="0" r="0" t="0"/>
                    <a:stretch>
                      <a:fillRect/>
                    </a:stretch>
                  </pic:blipFill>
                  <pic:spPr>
                    <a:xfrm>
                      <a:off x="0" y="0"/>
                      <a:ext cx="6134100" cy="2324100"/>
                    </a:xfrm>
                    <a:prstGeom prst="rect"/>
                    <a:ln/>
                  </pic:spPr>
                </pic:pic>
              </a:graphicData>
            </a:graphic>
          </wp:inline>
        </w:drawing>
      </w:r>
      <w:r w:rsidDel="00000000" w:rsidR="00000000" w:rsidRPr="00000000">
        <w:rPr>
          <w:rtl w:val="0"/>
        </w:rPr>
      </w:r>
    </w:p>
    <w:p w:rsidR="00000000" w:rsidDel="00000000" w:rsidP="00000000" w:rsidRDefault="00000000" w:rsidRPr="00000000" w14:paraId="0000035B">
      <w:pPr>
        <w:spacing w:before="35" w:lineRule="auto"/>
        <w:ind w:left="1544" w:right="1562" w:firstLine="0"/>
        <w:jc w:val="center"/>
        <w:rPr>
          <w:rFonts w:ascii="Garamond" w:cs="Garamond" w:eastAsia="Garamond" w:hAnsi="Garamond"/>
          <w:sz w:val="24"/>
          <w:szCs w:val="24"/>
        </w:rPr>
      </w:pPr>
      <w:bookmarkStart w:colFirst="0" w:colLast="0" w:name="_heading=h.dekseqb7okvb" w:id="4"/>
      <w:bookmarkEnd w:id="4"/>
      <w:r w:rsidDel="00000000" w:rsidR="00000000" w:rsidRPr="00000000">
        <w:rPr>
          <w:rtl w:val="0"/>
        </w:rPr>
      </w:r>
    </w:p>
    <w:p w:rsidR="00000000" w:rsidDel="00000000" w:rsidP="00000000" w:rsidRDefault="00000000" w:rsidRPr="00000000" w14:paraId="0000035C">
      <w:pPr>
        <w:spacing w:before="35" w:lineRule="auto"/>
        <w:ind w:left="1544" w:right="1562" w:firstLine="0"/>
        <w:jc w:val="center"/>
        <w:rPr>
          <w:rFonts w:ascii="Garamond" w:cs="Garamond" w:eastAsia="Garamond" w:hAnsi="Garamond"/>
          <w:sz w:val="20"/>
          <w:szCs w:val="20"/>
        </w:rPr>
      </w:pPr>
      <w:bookmarkStart w:colFirst="0" w:colLast="0" w:name="_heading=h.nqptw86oydh2" w:id="5"/>
      <w:bookmarkEnd w:id="5"/>
      <w:r w:rsidDel="00000000" w:rsidR="00000000" w:rsidRPr="00000000">
        <w:rPr>
          <w:rFonts w:ascii="Garamond" w:cs="Garamond" w:eastAsia="Garamond" w:hAnsi="Garamond"/>
          <w:sz w:val="18"/>
          <w:szCs w:val="18"/>
          <w:rtl w:val="0"/>
        </w:rPr>
        <w:t xml:space="preserve">Fuente Colombia Compra Eficiente MAE – Análisis de la Demanda vigencia 2026 </w:t>
      </w:r>
      <w:r w:rsidDel="00000000" w:rsidR="00000000" w:rsidRPr="00000000">
        <w:rPr>
          <w:rFonts w:ascii="Garamond" w:cs="Garamond" w:eastAsia="Garamond" w:hAnsi="Garamond"/>
          <w:sz w:val="18"/>
          <w:szCs w:val="18"/>
          <w:vertAlign w:val="superscript"/>
        </w:rPr>
        <w:footnoteReference w:customMarkFollows="0" w:id="19"/>
      </w:r>
      <w:r w:rsidDel="00000000" w:rsidR="00000000" w:rsidRPr="00000000">
        <w:rPr>
          <w:rtl w:val="0"/>
        </w:rPr>
      </w:r>
    </w:p>
    <w:p w:rsidR="00000000" w:rsidDel="00000000" w:rsidP="00000000" w:rsidRDefault="00000000" w:rsidRPr="00000000" w14:paraId="000003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0" w:firstLine="0"/>
        <w:jc w:val="left"/>
        <w:rPr>
          <w:rFonts w:ascii="Garamond" w:cs="Garamond" w:eastAsia="Garamond" w:hAnsi="Garamond"/>
          <w:b w:val="0"/>
          <w:bCs w:val="0"/>
          <w:i w:val="0"/>
          <w:iCs w:val="0"/>
          <w:smallCaps w:val="0"/>
          <w:strike w:val="0"/>
          <w:color w:val="000000"/>
          <w:sz w:val="14"/>
          <w:szCs w:val="14"/>
          <w:u w:val="none"/>
          <w:shd w:fill="auto" w:val="clear"/>
          <w:vertAlign w:val="baseline"/>
        </w:rPr>
      </w:pPr>
      <w:r w:rsidDel="00000000" w:rsidR="00000000" w:rsidRPr="00000000">
        <w:rPr>
          <w:rtl w:val="0"/>
        </w:rPr>
      </w:r>
    </w:p>
    <w:p w:rsidR="00000000" w:rsidDel="00000000" w:rsidP="00000000" w:rsidRDefault="00000000" w:rsidRPr="00000000" w14:paraId="000003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Las entidades a nivel nacional han adquirido bienes y servicios relacionados con el objeto contractual a través de diferentes modalidades de selección competitiva, de acuerdo con sus necesidades institucionales, disponibilidad presupuestal y alcance de los proyectos formulados. </w:t>
      </w:r>
    </w:p>
    <w:p w:rsidR="00000000" w:rsidDel="00000000" w:rsidP="00000000" w:rsidRDefault="00000000" w:rsidRPr="00000000" w14:paraId="000003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Lo anterior permite evidenciar que existe un comportamiento histórico de gasto público asociado a la contratación de servicios relacionados con tecnologías de la información, actividades profesionales, científicas y técnicas, servicios educativos, sociales, comunitarios, logísticos y demás actividades de apoyo.</w:t>
      </w:r>
    </w:p>
    <w:p w:rsidR="00000000" w:rsidDel="00000000" w:rsidP="00000000" w:rsidRDefault="00000000" w:rsidRPr="00000000" w14:paraId="000003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De acuerdo con la información consultada en el </w:t>
      </w:r>
      <w:r w:rsidDel="00000000" w:rsidR="00000000" w:rsidRPr="00000000">
        <w:rPr>
          <w:rFonts w:ascii="Garamond" w:cs="Garamond" w:eastAsia="Garamond" w:hAnsi="Garamond"/>
          <w:sz w:val="24"/>
          <w:szCs w:val="24"/>
          <w:rtl w:val="0"/>
        </w:rPr>
        <w:t xml:space="preserve">Modelo de Abastecimiento Estratégico – MAE de Colombia Compra Eficiente</w:t>
      </w:r>
      <w:r w:rsidDel="00000000" w:rsidR="00000000" w:rsidRPr="00000000">
        <w:rPr>
          <w:rFonts w:ascii="Garamond" w:cs="Garamond" w:eastAsia="Garamond" w:hAnsi="Garamond"/>
          <w:sz w:val="24"/>
          <w:szCs w:val="24"/>
          <w:rtl w:val="0"/>
        </w:rPr>
        <w:t xml:space="preserve">, específicamente en la </w:t>
      </w:r>
      <w:r w:rsidDel="00000000" w:rsidR="00000000" w:rsidRPr="00000000">
        <w:rPr>
          <w:rFonts w:ascii="Garamond" w:cs="Garamond" w:eastAsia="Garamond" w:hAnsi="Garamond"/>
          <w:sz w:val="24"/>
          <w:szCs w:val="24"/>
          <w:rtl w:val="0"/>
        </w:rPr>
        <w:t xml:space="preserve">Herramienta de Análisis de Demanda</w:t>
      </w:r>
      <w:r w:rsidDel="00000000" w:rsidR="00000000" w:rsidRPr="00000000">
        <w:rPr>
          <w:rFonts w:ascii="Garamond" w:cs="Garamond" w:eastAsia="Garamond" w:hAnsi="Garamond"/>
          <w:sz w:val="24"/>
          <w:szCs w:val="24"/>
          <w:rtl w:val="0"/>
        </w:rPr>
        <w:t xml:space="preserve">, para la vigencia </w:t>
      </w:r>
      <w:r w:rsidDel="00000000" w:rsidR="00000000" w:rsidRPr="00000000">
        <w:rPr>
          <w:rFonts w:ascii="Garamond" w:cs="Garamond" w:eastAsia="Garamond" w:hAnsi="Garamond"/>
          <w:sz w:val="24"/>
          <w:szCs w:val="24"/>
          <w:rtl w:val="0"/>
        </w:rPr>
        <w:t xml:space="preserve">2026</w:t>
      </w:r>
      <w:r w:rsidDel="00000000" w:rsidR="00000000" w:rsidRPr="00000000">
        <w:rPr>
          <w:rFonts w:ascii="Garamond" w:cs="Garamond" w:eastAsia="Garamond" w:hAnsi="Garamond"/>
          <w:sz w:val="24"/>
          <w:szCs w:val="24"/>
          <w:rtl w:val="0"/>
        </w:rPr>
        <w:t xml:space="preserve"> se identifican entidades estatales que han realizado contratación relacionada con los sectores objeto de análisis. En la muestra consultada, por valor total contratado, se destaca el </w:t>
      </w:r>
      <w:r w:rsidDel="00000000" w:rsidR="00000000" w:rsidRPr="00000000">
        <w:rPr>
          <w:rFonts w:ascii="Garamond" w:cs="Garamond" w:eastAsia="Garamond" w:hAnsi="Garamond"/>
          <w:sz w:val="24"/>
          <w:szCs w:val="24"/>
          <w:rtl w:val="0"/>
        </w:rPr>
        <w:t xml:space="preserve">Distrito Especial de Ciencia, Tecnología e Innovación de Medellín</w:t>
      </w:r>
      <w:r w:rsidDel="00000000" w:rsidR="00000000" w:rsidRPr="00000000">
        <w:rPr>
          <w:rFonts w:ascii="Garamond" w:cs="Garamond" w:eastAsia="Garamond" w:hAnsi="Garamond"/>
          <w:sz w:val="24"/>
          <w:szCs w:val="24"/>
          <w:rtl w:val="0"/>
        </w:rPr>
        <w:t xml:space="preserve">, con un valor de </w:t>
      </w:r>
      <w:r w:rsidDel="00000000" w:rsidR="00000000" w:rsidRPr="00000000">
        <w:rPr>
          <w:rFonts w:ascii="Garamond" w:cs="Garamond" w:eastAsia="Garamond" w:hAnsi="Garamond"/>
          <w:sz w:val="24"/>
          <w:szCs w:val="24"/>
          <w:rtl w:val="0"/>
        </w:rPr>
        <w:t xml:space="preserve">$89.135.117.449</w:t>
      </w:r>
      <w:r w:rsidDel="00000000" w:rsidR="00000000" w:rsidRPr="00000000">
        <w:rPr>
          <w:rFonts w:ascii="Garamond" w:cs="Garamond" w:eastAsia="Garamond" w:hAnsi="Garamond"/>
          <w:sz w:val="24"/>
          <w:szCs w:val="24"/>
          <w:rtl w:val="0"/>
        </w:rPr>
        <w:t xml:space="preserve">, seguido de la </w:t>
      </w:r>
      <w:r w:rsidDel="00000000" w:rsidR="00000000" w:rsidRPr="00000000">
        <w:rPr>
          <w:rFonts w:ascii="Garamond" w:cs="Garamond" w:eastAsia="Garamond" w:hAnsi="Garamond"/>
          <w:sz w:val="24"/>
          <w:szCs w:val="24"/>
          <w:rtl w:val="0"/>
        </w:rPr>
        <w:t xml:space="preserve">Secretaría de Educación del Distrito</w:t>
      </w:r>
      <w:r w:rsidDel="00000000" w:rsidR="00000000" w:rsidRPr="00000000">
        <w:rPr>
          <w:rFonts w:ascii="Garamond" w:cs="Garamond" w:eastAsia="Garamond" w:hAnsi="Garamond"/>
          <w:sz w:val="24"/>
          <w:szCs w:val="24"/>
          <w:rtl w:val="0"/>
        </w:rPr>
        <w:t xml:space="preserve">, con </w:t>
      </w:r>
      <w:r w:rsidDel="00000000" w:rsidR="00000000" w:rsidRPr="00000000">
        <w:rPr>
          <w:rFonts w:ascii="Garamond" w:cs="Garamond" w:eastAsia="Garamond" w:hAnsi="Garamond"/>
          <w:sz w:val="24"/>
          <w:szCs w:val="24"/>
          <w:rtl w:val="0"/>
        </w:rPr>
        <w:t xml:space="preserve">$72.741.306.454</w:t>
      </w:r>
      <w:r w:rsidDel="00000000" w:rsidR="00000000" w:rsidRPr="00000000">
        <w:rPr>
          <w:rFonts w:ascii="Garamond" w:cs="Garamond" w:eastAsia="Garamond" w:hAnsi="Garamond"/>
          <w:sz w:val="24"/>
          <w:szCs w:val="24"/>
          <w:rtl w:val="0"/>
        </w:rPr>
        <w:t xml:space="preserve">, y la </w:t>
      </w:r>
      <w:r w:rsidDel="00000000" w:rsidR="00000000" w:rsidRPr="00000000">
        <w:rPr>
          <w:rFonts w:ascii="Garamond" w:cs="Garamond" w:eastAsia="Garamond" w:hAnsi="Garamond"/>
          <w:sz w:val="24"/>
          <w:szCs w:val="24"/>
          <w:rtl w:val="0"/>
        </w:rPr>
        <w:t xml:space="preserve">Dirección de Antinarcóticos</w:t>
      </w:r>
      <w:r w:rsidDel="00000000" w:rsidR="00000000" w:rsidRPr="00000000">
        <w:rPr>
          <w:rFonts w:ascii="Garamond" w:cs="Garamond" w:eastAsia="Garamond" w:hAnsi="Garamond"/>
          <w:sz w:val="24"/>
          <w:szCs w:val="24"/>
          <w:rtl w:val="0"/>
        </w:rPr>
        <w:t xml:space="preserve">, con </w:t>
      </w:r>
      <w:r w:rsidDel="00000000" w:rsidR="00000000" w:rsidRPr="00000000">
        <w:rPr>
          <w:rFonts w:ascii="Garamond" w:cs="Garamond" w:eastAsia="Garamond" w:hAnsi="Garamond"/>
          <w:sz w:val="24"/>
          <w:szCs w:val="24"/>
          <w:rtl w:val="0"/>
        </w:rPr>
        <w:t xml:space="preserve">$70.732.500.000</w:t>
      </w:r>
      <w:r w:rsidDel="00000000" w:rsidR="00000000" w:rsidRPr="00000000">
        <w:rPr>
          <w:rFonts w:ascii="Garamond" w:cs="Garamond" w:eastAsia="Garamond" w:hAnsi="Garamond"/>
          <w:sz w:val="24"/>
          <w:szCs w:val="24"/>
          <w:rtl w:val="0"/>
        </w:rPr>
        <w:t xml:space="preserve">.</w:t>
      </w:r>
    </w:p>
    <w:p w:rsidR="00000000" w:rsidDel="00000000" w:rsidP="00000000" w:rsidRDefault="00000000" w:rsidRPr="00000000" w14:paraId="00000363">
      <w:pPr>
        <w:widowControl w:val="1"/>
        <w:spacing w:after="240" w:befor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En cuanto al número de contratos, se evidencia que el </w:t>
      </w:r>
      <w:r w:rsidDel="00000000" w:rsidR="00000000" w:rsidRPr="00000000">
        <w:rPr>
          <w:rFonts w:ascii="Garamond" w:cs="Garamond" w:eastAsia="Garamond" w:hAnsi="Garamond"/>
          <w:sz w:val="24"/>
          <w:szCs w:val="24"/>
          <w:rtl w:val="0"/>
        </w:rPr>
        <w:t xml:space="preserve">Servicio Nacional de Aprendizaje – SENA Magdalena</w:t>
      </w:r>
      <w:r w:rsidDel="00000000" w:rsidR="00000000" w:rsidRPr="00000000">
        <w:rPr>
          <w:rFonts w:ascii="Garamond" w:cs="Garamond" w:eastAsia="Garamond" w:hAnsi="Garamond"/>
          <w:sz w:val="24"/>
          <w:szCs w:val="24"/>
          <w:rtl w:val="0"/>
        </w:rPr>
        <w:t xml:space="preserve"> registra la mayor cantidad, con </w:t>
      </w:r>
      <w:r w:rsidDel="00000000" w:rsidR="00000000" w:rsidRPr="00000000">
        <w:rPr>
          <w:rFonts w:ascii="Garamond" w:cs="Garamond" w:eastAsia="Garamond" w:hAnsi="Garamond"/>
          <w:sz w:val="24"/>
          <w:szCs w:val="24"/>
          <w:rtl w:val="0"/>
        </w:rPr>
        <w:t xml:space="preserve">424 contratos</w:t>
      </w:r>
      <w:r w:rsidDel="00000000" w:rsidR="00000000" w:rsidRPr="00000000">
        <w:rPr>
          <w:rFonts w:ascii="Garamond" w:cs="Garamond" w:eastAsia="Garamond" w:hAnsi="Garamond"/>
          <w:sz w:val="24"/>
          <w:szCs w:val="24"/>
          <w:rtl w:val="0"/>
        </w:rPr>
        <w:t xml:space="preserve">, seguido del </w:t>
      </w:r>
      <w:r w:rsidDel="00000000" w:rsidR="00000000" w:rsidRPr="00000000">
        <w:rPr>
          <w:rFonts w:ascii="Garamond" w:cs="Garamond" w:eastAsia="Garamond" w:hAnsi="Garamond"/>
          <w:sz w:val="24"/>
          <w:szCs w:val="24"/>
          <w:rtl w:val="0"/>
        </w:rPr>
        <w:t xml:space="preserve">SENA Regional Antioquia – Grupo de Apoyo Administrativo Mixto</w:t>
      </w:r>
      <w:r w:rsidDel="00000000" w:rsidR="00000000" w:rsidRPr="00000000">
        <w:rPr>
          <w:rFonts w:ascii="Garamond" w:cs="Garamond" w:eastAsia="Garamond" w:hAnsi="Garamond"/>
          <w:sz w:val="24"/>
          <w:szCs w:val="24"/>
          <w:rtl w:val="0"/>
        </w:rPr>
        <w:t xml:space="preserve">, con </w:t>
      </w:r>
      <w:r w:rsidDel="00000000" w:rsidR="00000000" w:rsidRPr="00000000">
        <w:rPr>
          <w:rFonts w:ascii="Garamond" w:cs="Garamond" w:eastAsia="Garamond" w:hAnsi="Garamond"/>
          <w:sz w:val="24"/>
          <w:szCs w:val="24"/>
          <w:rtl w:val="0"/>
        </w:rPr>
        <w:t xml:space="preserve">416 contratos</w:t>
      </w:r>
      <w:r w:rsidDel="00000000" w:rsidR="00000000" w:rsidRPr="00000000">
        <w:rPr>
          <w:rFonts w:ascii="Garamond" w:cs="Garamond" w:eastAsia="Garamond" w:hAnsi="Garamond"/>
          <w:sz w:val="24"/>
          <w:szCs w:val="24"/>
          <w:rtl w:val="0"/>
        </w:rPr>
        <w:t xml:space="preserve">. Esta información permite observar que el gasto histórico no solo se concentra por valor, sino también por frecuencia contractual, reflejando una demanda pública activa en diferentes entidades del orden nacional, distrital y territorial.</w:t>
      </w:r>
    </w:p>
    <w:p w:rsidR="00000000" w:rsidDel="00000000" w:rsidP="00000000" w:rsidRDefault="00000000" w:rsidRPr="00000000" w14:paraId="00000364">
      <w:pPr>
        <w:widowControl w:val="1"/>
        <w:spacing w:after="240" w:befor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Con base en la información visible en la tabla analizada, las entidades relacionadas suman aproximadamente </w:t>
      </w:r>
      <w:r w:rsidDel="00000000" w:rsidR="00000000" w:rsidRPr="00000000">
        <w:rPr>
          <w:rFonts w:ascii="Garamond" w:cs="Garamond" w:eastAsia="Garamond" w:hAnsi="Garamond"/>
          <w:sz w:val="24"/>
          <w:szCs w:val="24"/>
          <w:rtl w:val="0"/>
        </w:rPr>
        <w:t xml:space="preserve">992 contratos</w:t>
      </w:r>
      <w:r w:rsidDel="00000000" w:rsidR="00000000" w:rsidRPr="00000000">
        <w:rPr>
          <w:rFonts w:ascii="Garamond" w:cs="Garamond" w:eastAsia="Garamond" w:hAnsi="Garamond"/>
          <w:sz w:val="24"/>
          <w:szCs w:val="24"/>
          <w:rtl w:val="0"/>
        </w:rPr>
        <w:t xml:space="preserve"> y un valor total de </w:t>
      </w:r>
      <w:r w:rsidDel="00000000" w:rsidR="00000000" w:rsidRPr="00000000">
        <w:rPr>
          <w:rFonts w:ascii="Garamond" w:cs="Garamond" w:eastAsia="Garamond" w:hAnsi="Garamond"/>
          <w:sz w:val="24"/>
          <w:szCs w:val="24"/>
          <w:rtl w:val="0"/>
        </w:rPr>
        <w:t xml:space="preserve">$512.189.358.178</w:t>
      </w:r>
      <w:r w:rsidDel="00000000" w:rsidR="00000000" w:rsidRPr="00000000">
        <w:rPr>
          <w:rFonts w:ascii="Garamond" w:cs="Garamond" w:eastAsia="Garamond" w:hAnsi="Garamond"/>
          <w:sz w:val="24"/>
          <w:szCs w:val="24"/>
          <w:rtl w:val="0"/>
        </w:rPr>
        <w:t xml:space="preserve">. En este contexto, el </w:t>
      </w:r>
      <w:r w:rsidDel="00000000" w:rsidR="00000000" w:rsidRPr="00000000">
        <w:rPr>
          <w:rFonts w:ascii="Garamond" w:cs="Garamond" w:eastAsia="Garamond" w:hAnsi="Garamond"/>
          <w:sz w:val="24"/>
          <w:szCs w:val="24"/>
          <w:rtl w:val="0"/>
        </w:rPr>
        <w:t xml:space="preserve">Distrito Especial de Ciencia, Tecnología e Innovación de Medellín</w:t>
      </w:r>
      <w:r w:rsidDel="00000000" w:rsidR="00000000" w:rsidRPr="00000000">
        <w:rPr>
          <w:rFonts w:ascii="Garamond" w:cs="Garamond" w:eastAsia="Garamond" w:hAnsi="Garamond"/>
          <w:sz w:val="24"/>
          <w:szCs w:val="24"/>
          <w:rtl w:val="0"/>
        </w:rPr>
        <w:t xml:space="preserve"> representa cerca del </w:t>
      </w:r>
      <w:r w:rsidDel="00000000" w:rsidR="00000000" w:rsidRPr="00000000">
        <w:rPr>
          <w:rFonts w:ascii="Garamond" w:cs="Garamond" w:eastAsia="Garamond" w:hAnsi="Garamond"/>
          <w:sz w:val="24"/>
          <w:szCs w:val="24"/>
          <w:rtl w:val="0"/>
        </w:rPr>
        <w:t xml:space="preserve">17,4% del valor total analizado</w:t>
      </w:r>
      <w:r w:rsidDel="00000000" w:rsidR="00000000" w:rsidRPr="00000000">
        <w:rPr>
          <w:rFonts w:ascii="Garamond" w:cs="Garamond" w:eastAsia="Garamond" w:hAnsi="Garamond"/>
          <w:sz w:val="24"/>
          <w:szCs w:val="24"/>
          <w:rtl w:val="0"/>
        </w:rPr>
        <w:t xml:space="preserve">, mientras que el </w:t>
      </w:r>
      <w:r w:rsidDel="00000000" w:rsidR="00000000" w:rsidRPr="00000000">
        <w:rPr>
          <w:rFonts w:ascii="Garamond" w:cs="Garamond" w:eastAsia="Garamond" w:hAnsi="Garamond"/>
          <w:sz w:val="24"/>
          <w:szCs w:val="24"/>
          <w:rtl w:val="0"/>
        </w:rPr>
        <w:t xml:space="preserve">SENA Magdalena</w:t>
      </w:r>
      <w:r w:rsidDel="00000000" w:rsidR="00000000" w:rsidRPr="00000000">
        <w:rPr>
          <w:rFonts w:ascii="Garamond" w:cs="Garamond" w:eastAsia="Garamond" w:hAnsi="Garamond"/>
          <w:sz w:val="24"/>
          <w:szCs w:val="24"/>
          <w:rtl w:val="0"/>
        </w:rPr>
        <w:t xml:space="preserve"> representa aproximadamente el </w:t>
      </w:r>
      <w:r w:rsidDel="00000000" w:rsidR="00000000" w:rsidRPr="00000000">
        <w:rPr>
          <w:rFonts w:ascii="Garamond" w:cs="Garamond" w:eastAsia="Garamond" w:hAnsi="Garamond"/>
          <w:sz w:val="24"/>
          <w:szCs w:val="24"/>
          <w:rtl w:val="0"/>
        </w:rPr>
        <w:t xml:space="preserve">42,7% de la cantidad total de contratos</w:t>
      </w:r>
      <w:r w:rsidDel="00000000" w:rsidR="00000000" w:rsidRPr="00000000">
        <w:rPr>
          <w:rFonts w:ascii="Garamond" w:cs="Garamond" w:eastAsia="Garamond" w:hAnsi="Garamond"/>
          <w:sz w:val="24"/>
          <w:szCs w:val="24"/>
          <w:rtl w:val="0"/>
        </w:rPr>
        <w:t xml:space="preserve"> de la muestra. Estos porcentajes se calculan sobre la información visible en la tabla y permiten identificar la participación relativa de las entidades con mayor incidencia dentro del comportamiento histórico de contratación.</w:t>
      </w:r>
    </w:p>
    <w:p w:rsidR="00000000" w:rsidDel="00000000" w:rsidP="00000000" w:rsidRDefault="00000000" w:rsidRPr="00000000" w14:paraId="00000365">
      <w:pPr>
        <w:widowControl w:val="1"/>
        <w:spacing w:after="240" w:before="240" w:lineRule="auto"/>
        <w:jc w:val="both"/>
        <w:rPr>
          <w:rFonts w:ascii="Garamond" w:cs="Garamond" w:eastAsia="Garamond" w:hAnsi="Garamond"/>
          <w:b w:val="0"/>
          <w:bCs w:val="0"/>
          <w:i w:val="0"/>
          <w:iCs w:val="0"/>
          <w:smallCaps w:val="0"/>
          <w:strike w:val="0"/>
          <w:color w:val="000000"/>
          <w:sz w:val="24"/>
          <w:szCs w:val="24"/>
          <w:highlight w:val="yellow"/>
          <w:u w:val="none"/>
          <w:vertAlign w:val="baseline"/>
        </w:rPr>
      </w:pPr>
      <w:r w:rsidDel="00000000" w:rsidR="00000000" w:rsidRPr="00000000">
        <w:rPr>
          <w:rFonts w:ascii="Garamond" w:cs="Garamond" w:eastAsia="Garamond" w:hAnsi="Garamond"/>
          <w:sz w:val="24"/>
          <w:szCs w:val="24"/>
          <w:rtl w:val="0"/>
        </w:rPr>
        <w:t xml:space="preserve">En consecuencia, el comportamiento del gasto histórico de otras entidades permite evidenciar la existencia de antecedentes contractuales, demanda pública y participación de diferentes entidades estatales en la adquisición de bienes y servicios similares o relacionados con el objeto que se pretende contratar. Lo anterior soporta la pertinencia del proceso contractual, al demostrar que existe mercado, experiencia institucional y pluralidad de necesidades públicas asociadas a este tipo de servicios</w:t>
      </w:r>
      <w:r w:rsidDel="00000000" w:rsidR="00000000" w:rsidRPr="00000000">
        <w:rPr>
          <w:rtl w:val="0"/>
        </w:rPr>
      </w:r>
    </w:p>
    <w:p w:rsidR="00000000" w:rsidDel="00000000" w:rsidP="00000000" w:rsidRDefault="00000000" w:rsidRPr="00000000" w14:paraId="000003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0" w:firstLine="0"/>
        <w:jc w:val="center"/>
        <w:rPr>
          <w:rFonts w:ascii="Garamond" w:cs="Garamond" w:eastAsia="Garamond" w:hAnsi="Garamond"/>
          <w:b w:val="0"/>
          <w:bCs w:val="0"/>
          <w:i w:val="0"/>
          <w:iCs w:val="0"/>
          <w:smallCaps w:val="0"/>
          <w:strike w:val="0"/>
          <w:color w:val="000000"/>
          <w:sz w:val="14"/>
          <w:szCs w:val="14"/>
          <w:u w:val="none"/>
          <w:shd w:fill="auto" w:val="clear"/>
          <w:vertAlign w:val="baseline"/>
        </w:rPr>
      </w:pPr>
      <w:r w:rsidDel="00000000" w:rsidR="00000000" w:rsidRPr="00000000">
        <w:rPr>
          <w:rtl w:val="0"/>
        </w:rPr>
      </w:r>
    </w:p>
    <w:p w:rsidR="00000000" w:rsidDel="00000000" w:rsidP="00000000" w:rsidRDefault="00000000" w:rsidRPr="00000000" w14:paraId="00000367">
      <w:pPr>
        <w:pStyle w:val="Heading1"/>
        <w:numPr>
          <w:ilvl w:val="0"/>
          <w:numId w:val="10"/>
        </w:numPr>
        <w:tabs>
          <w:tab w:val="left" w:leader="none" w:pos="479"/>
        </w:tabs>
        <w:spacing w:before="83" w:lineRule="auto"/>
        <w:ind w:left="402" w:hanging="361"/>
        <w:rPr>
          <w:rFonts w:ascii="Garamond" w:cs="Garamond" w:eastAsia="Garamond" w:hAnsi="Garamond"/>
        </w:rPr>
      </w:pPr>
      <w:r w:rsidDel="00000000" w:rsidR="00000000" w:rsidRPr="00000000">
        <w:rPr>
          <w:rFonts w:ascii="Garamond" w:cs="Garamond" w:eastAsia="Garamond" w:hAnsi="Garamond"/>
          <w:rtl w:val="0"/>
        </w:rPr>
        <w:t xml:space="preserve">ANÁLISIS DE LA OFERTA</w:t>
      </w:r>
    </w:p>
    <w:p w:rsidR="00000000" w:rsidDel="00000000" w:rsidP="00000000" w:rsidRDefault="00000000" w:rsidRPr="00000000" w14:paraId="000003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left"/>
        <w:rPr>
          <w:rFonts w:ascii="Garamond" w:cs="Garamond" w:eastAsia="Garamond" w:hAnsi="Garamond"/>
          <w:b w:val="1"/>
          <w:bCs w:val="1"/>
          <w:i w:val="0"/>
          <w:iCs w:val="0"/>
          <w:smallCaps w:val="0"/>
          <w:strike w:val="0"/>
          <w:color w:val="000000"/>
          <w:sz w:val="23"/>
          <w:szCs w:val="23"/>
          <w:u w:val="none"/>
          <w:shd w:fill="auto" w:val="clear"/>
          <w:vertAlign w:val="baseline"/>
        </w:rPr>
      </w:pPr>
      <w:r w:rsidDel="00000000" w:rsidR="00000000" w:rsidRPr="00000000">
        <w:rPr>
          <w:rtl w:val="0"/>
        </w:rPr>
      </w:r>
    </w:p>
    <w:p w:rsidR="00000000" w:rsidDel="00000000" w:rsidP="00000000" w:rsidRDefault="00000000" w:rsidRPr="00000000" w14:paraId="000003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 w:lineRule="auto"/>
        <w:ind w:left="118" w:right="134"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La Agencia Nacional de Contratación Pública – Colombia Compra Eficiente a adoptado la Metodología de Abastecimiento Estratégico – MAE como una de las herramientas de la Política de Compras y Contratación Pública de la gestión pública de desarrollar prácticas que permitan que el proceso de compra de las entidades sea transparente, eficiente y genere valor por dinero.</w:t>
      </w:r>
    </w:p>
    <w:p w:rsidR="00000000" w:rsidDel="00000000" w:rsidP="00000000" w:rsidRDefault="00000000" w:rsidRPr="00000000" w14:paraId="000003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0" w:lineRule="auto"/>
        <w:ind w:left="0" w:right="0" w:firstLine="0"/>
        <w:jc w:val="left"/>
        <w:rPr>
          <w:rFonts w:ascii="Garamond" w:cs="Garamond" w:eastAsia="Garamond" w:hAnsi="Garamond"/>
          <w:b w:val="0"/>
          <w:bCs w:val="0"/>
          <w:i w:val="0"/>
          <w:iCs w:val="0"/>
          <w:smallCaps w:val="0"/>
          <w:strike w:val="0"/>
          <w:color w:val="000000"/>
          <w:sz w:val="23"/>
          <w:szCs w:val="23"/>
          <w:u w:val="none"/>
          <w:shd w:fill="auto" w:val="clear"/>
          <w:vertAlign w:val="baseline"/>
        </w:rPr>
      </w:pPr>
      <w:r w:rsidDel="00000000" w:rsidR="00000000" w:rsidRPr="00000000">
        <w:rPr>
          <w:rtl w:val="0"/>
        </w:rPr>
      </w:r>
    </w:p>
    <w:p w:rsidR="00000000" w:rsidDel="00000000" w:rsidP="00000000" w:rsidRDefault="00000000" w:rsidRPr="00000000" w14:paraId="000003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 w:lineRule="auto"/>
        <w:ind w:left="118" w:right="136"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Dentro de las fases que componen el MAE encontramos en la Fase 2 el Análisis de la Oferta donde se desarrolla la caracterización que tiene como objetivo entender las variables que impactan los sectores a los que pertenecen las categorías a evaluar, el comportamiento de las compras por categorías en las diferentes anualidades, de esta manera, se tendrá un panorama amplio y completo de qué sucede en el mercado.</w:t>
      </w:r>
    </w:p>
    <w:p w:rsidR="00000000" w:rsidDel="00000000" w:rsidP="00000000" w:rsidRDefault="00000000" w:rsidRPr="00000000" w14:paraId="000003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0" w:lineRule="auto"/>
        <w:ind w:left="0" w:right="0" w:firstLine="0"/>
        <w:jc w:val="left"/>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 w:lineRule="auto"/>
        <w:ind w:left="118" w:right="134"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En este sentido y </w:t>
      </w:r>
      <w:r w:rsidDel="00000000" w:rsidR="00000000" w:rsidRPr="00000000">
        <w:rPr>
          <w:rFonts w:ascii="Garamond" w:cs="Garamond" w:eastAsia="Garamond" w:hAnsi="Garamond"/>
          <w:sz w:val="24"/>
          <w:szCs w:val="24"/>
          <w:rtl w:val="0"/>
        </w:rPr>
        <w:t xml:space="preserve">de acuerdo</w:t>
      </w: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 a la necesidad del Fondo de Desarrollo Local de San Cristóbal FDLSC, a continuación, desarrollamos el histórico para las categorías establecidas en la Tabla 1 Clasificador de Bienes y Servicios de Naciones Unidas (UNSPSC).</w:t>
      </w:r>
    </w:p>
    <w:p w:rsidR="00000000" w:rsidDel="00000000" w:rsidP="00000000" w:rsidRDefault="00000000" w:rsidRPr="00000000" w14:paraId="000003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 w:lineRule="auto"/>
        <w:ind w:left="118" w:right="134"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0" w:right="0" w:firstLine="0"/>
        <w:jc w:val="left"/>
        <w:rPr>
          <w:rFonts w:ascii="Garamond" w:cs="Garamond" w:eastAsia="Garamond" w:hAnsi="Garamond"/>
          <w:b w:val="0"/>
          <w:bCs w:val="0"/>
          <w:i w:val="0"/>
          <w:iCs w:val="0"/>
          <w:smallCaps w:val="0"/>
          <w:strike w:val="0"/>
          <w:color w:val="000000"/>
          <w:sz w:val="17"/>
          <w:szCs w:val="17"/>
          <w:u w:val="none"/>
          <w:shd w:fill="auto" w:val="clear"/>
          <w:vertAlign w:val="baseline"/>
        </w:rPr>
      </w:pPr>
      <w:r w:rsidDel="00000000" w:rsidR="00000000" w:rsidRPr="00000000">
        <w:rPr>
          <w:rtl w:val="0"/>
        </w:rPr>
      </w:r>
    </w:p>
    <w:p w:rsidR="00000000" w:rsidDel="00000000" w:rsidP="00000000" w:rsidRDefault="00000000" w:rsidRPr="00000000" w14:paraId="00000370">
      <w:pPr>
        <w:pStyle w:val="Heading1"/>
        <w:numPr>
          <w:ilvl w:val="1"/>
          <w:numId w:val="10"/>
        </w:numPr>
        <w:tabs>
          <w:tab w:val="left" w:leader="none" w:pos="839"/>
        </w:tabs>
        <w:spacing w:before="1" w:lineRule="auto"/>
        <w:ind w:left="838" w:hanging="361"/>
        <w:rPr>
          <w:rFonts w:ascii="Garamond" w:cs="Garamond" w:eastAsia="Garamond" w:hAnsi="Garamond"/>
        </w:rPr>
      </w:pPr>
      <w:r w:rsidDel="00000000" w:rsidR="00000000" w:rsidRPr="00000000">
        <w:rPr>
          <w:rFonts w:ascii="Garamond" w:cs="Garamond" w:eastAsia="Garamond" w:hAnsi="Garamond"/>
          <w:rtl w:val="0"/>
        </w:rPr>
        <w:t xml:space="preserve">Valor Total Estimado por Proveedor</w:t>
      </w:r>
    </w:p>
    <w:p w:rsidR="00000000" w:rsidDel="00000000" w:rsidP="00000000" w:rsidRDefault="00000000" w:rsidRPr="00000000" w14:paraId="00000371">
      <w:pPr>
        <w:pStyle w:val="Heading1"/>
        <w:tabs>
          <w:tab w:val="left" w:leader="none" w:pos="839"/>
        </w:tabs>
        <w:spacing w:before="1" w:lineRule="auto"/>
        <w:ind w:left="0" w:firstLine="0"/>
        <w:rPr>
          <w:rFonts w:ascii="Garamond" w:cs="Garamond" w:eastAsia="Garamond" w:hAnsi="Garamond"/>
        </w:rPr>
      </w:pPr>
      <w:r w:rsidDel="00000000" w:rsidR="00000000" w:rsidRPr="00000000">
        <w:rPr>
          <w:rtl w:val="0"/>
        </w:rPr>
      </w:r>
    </w:p>
    <w:p w:rsidR="00000000" w:rsidDel="00000000" w:rsidP="00000000" w:rsidRDefault="00000000" w:rsidRPr="00000000" w14:paraId="00000372">
      <w:pPr>
        <w:pStyle w:val="Heading1"/>
        <w:tabs>
          <w:tab w:val="left" w:leader="none" w:pos="839"/>
        </w:tabs>
        <w:spacing w:before="1" w:lineRule="auto"/>
        <w:ind w:left="0" w:firstLine="0"/>
        <w:jc w:val="both"/>
        <w:rPr>
          <w:rFonts w:ascii="Garamond" w:cs="Garamond" w:eastAsia="Garamond" w:hAnsi="Garamond"/>
          <w:b w:val="0"/>
          <w:bCs w:val="0"/>
        </w:rPr>
      </w:pPr>
      <w:r w:rsidDel="00000000" w:rsidR="00000000" w:rsidRPr="00000000">
        <w:rPr>
          <w:rFonts w:ascii="Garamond" w:cs="Garamond" w:eastAsia="Garamond" w:hAnsi="Garamond"/>
          <w:b w:val="0"/>
          <w:bCs w:val="0"/>
          <w:rtl w:val="0"/>
        </w:rPr>
        <w:t xml:space="preserve">Categoría Sector </w:t>
      </w:r>
      <w:r w:rsidDel="00000000" w:rsidR="00000000" w:rsidRPr="00000000">
        <w:rPr>
          <w:rFonts w:ascii="Garamond" w:cs="Garamond" w:eastAsia="Garamond" w:hAnsi="Garamond"/>
          <w:b w:val="0"/>
          <w:bCs w:val="0"/>
          <w:rtl w:val="0"/>
        </w:rPr>
        <w:t xml:space="preserve">las Entidades del Estado colombiano han adquirido bienes y/o servicios del grupo pertenecientes a los sectores “Sector de Tecnologías de la Información y las Comunicaciones (Sector TIC)”, “Actividades profesionales, científicas y técnicas”, “desarrollo social/educativo” y otras actividades de servicios</w:t>
      </w:r>
      <w:r w:rsidDel="00000000" w:rsidR="00000000" w:rsidRPr="00000000">
        <w:rPr>
          <w:rFonts w:ascii="Garamond" w:cs="Garamond" w:eastAsia="Garamond" w:hAnsi="Garamond"/>
          <w:b w:val="0"/>
          <w:bCs w:val="0"/>
          <w:sz w:val="22"/>
          <w:szCs w:val="22"/>
          <w:rtl w:val="0"/>
        </w:rPr>
        <w:t xml:space="preserve">”</w:t>
      </w:r>
      <w:r w:rsidDel="00000000" w:rsidR="00000000" w:rsidRPr="00000000">
        <w:rPr>
          <w:rFonts w:ascii="Garamond" w:cs="Garamond" w:eastAsia="Garamond" w:hAnsi="Garamond"/>
          <w:b w:val="0"/>
          <w:bCs w:val="0"/>
          <w:rtl w:val="0"/>
        </w:rPr>
        <w:t xml:space="preserve">.</w:t>
      </w:r>
    </w:p>
    <w:p w:rsidR="00000000" w:rsidDel="00000000" w:rsidP="00000000" w:rsidRDefault="00000000" w:rsidRPr="00000000" w14:paraId="00000373">
      <w:pPr>
        <w:pStyle w:val="Heading1"/>
        <w:tabs>
          <w:tab w:val="left" w:leader="none" w:pos="839"/>
        </w:tabs>
        <w:spacing w:before="1" w:lineRule="auto"/>
        <w:ind w:left="0" w:firstLine="0"/>
        <w:jc w:val="both"/>
        <w:rPr>
          <w:rFonts w:ascii="Garamond" w:cs="Garamond" w:eastAsia="Garamond" w:hAnsi="Garamond"/>
          <w:b w:val="0"/>
          <w:bCs w:val="0"/>
        </w:rPr>
      </w:pPr>
      <w:r w:rsidDel="00000000" w:rsidR="00000000" w:rsidRPr="00000000">
        <w:rPr>
          <w:rtl w:val="0"/>
        </w:rPr>
      </w:r>
    </w:p>
    <w:p w:rsidR="00000000" w:rsidDel="00000000" w:rsidP="00000000" w:rsidRDefault="00000000" w:rsidRPr="00000000" w14:paraId="00000374">
      <w:pPr>
        <w:ind w:left="-5" w:right="39" w:firstLine="0"/>
        <w:jc w:val="both"/>
        <w:rPr>
          <w:rFonts w:ascii="Garamond" w:cs="Garamond" w:eastAsia="Garamond" w:hAnsi="Garamond"/>
          <w:b w:val="1"/>
          <w:bCs w:val="1"/>
        </w:rPr>
      </w:pPr>
      <w:r w:rsidDel="00000000" w:rsidR="00000000" w:rsidRPr="00000000">
        <w:rPr>
          <w:rFonts w:ascii="Garamond" w:cs="Garamond" w:eastAsia="Garamond" w:hAnsi="Garamond"/>
          <w:sz w:val="24"/>
          <w:szCs w:val="24"/>
          <w:rtl w:val="0"/>
        </w:rPr>
        <w:t xml:space="preserve">En la ciudad de Bogotá existen diferentes empresas constituidas con capacidad de prestar los servicios incluidos en los sectores las Entidades del Estado colombiano han adquirido bienes y/o servicios del grupo pertenecientes a los sectores “Sector de Tecnologías de la Información y las Comunicaciones (Sector TIC)”, “Actividades profesionales, científicas y técnicas”, “desarrollo social/educativo” y otras actividades de servicios</w:t>
      </w:r>
      <w:r w:rsidDel="00000000" w:rsidR="00000000" w:rsidRPr="00000000">
        <w:rPr>
          <w:rFonts w:ascii="Garamond" w:cs="Garamond" w:eastAsia="Garamond" w:hAnsi="Garamond"/>
          <w:rtl w:val="0"/>
        </w:rPr>
        <w:t xml:space="preserve">”</w:t>
      </w:r>
      <w:r w:rsidDel="00000000" w:rsidR="00000000" w:rsidRPr="00000000">
        <w:rPr>
          <w:rFonts w:ascii="Garamond" w:cs="Garamond" w:eastAsia="Garamond" w:hAnsi="Garamond"/>
          <w:sz w:val="24"/>
          <w:szCs w:val="24"/>
          <w:rtl w:val="0"/>
        </w:rPr>
        <w:t xml:space="preserve">. De acuerdo con la información registrada en la plataforma SECOP II de Colombia Compra Eficiente, existen entre otras, las siguientes empresas que por su actividad económica pueden llegar a ser posibles proponentes para atender el objeto que se pretende contratar: </w:t>
      </w:r>
      <w:r w:rsidDel="00000000" w:rsidR="00000000" w:rsidRPr="00000000">
        <w:rPr>
          <w:rtl w:val="0"/>
        </w:rPr>
      </w:r>
    </w:p>
    <w:p w:rsidR="00000000" w:rsidDel="00000000" w:rsidP="00000000" w:rsidRDefault="00000000" w:rsidRPr="00000000" w14:paraId="00000375">
      <w:pPr>
        <w:jc w:val="center"/>
        <w:rPr>
          <w:rFonts w:ascii="Garamond" w:cs="Garamond" w:eastAsia="Garamond" w:hAnsi="Garamond"/>
          <w:color w:val="000000"/>
          <w:sz w:val="16"/>
          <w:szCs w:val="16"/>
        </w:rPr>
      </w:pPr>
      <w:r w:rsidDel="00000000" w:rsidR="00000000" w:rsidRPr="00000000">
        <w:rPr>
          <w:rtl w:val="0"/>
        </w:rPr>
      </w:r>
    </w:p>
    <w:p w:rsidR="00000000" w:rsidDel="00000000" w:rsidP="00000000" w:rsidRDefault="00000000" w:rsidRPr="00000000" w14:paraId="00000376">
      <w:pPr>
        <w:jc w:val="center"/>
        <w:rPr>
          <w:rFonts w:ascii="Garamond" w:cs="Garamond" w:eastAsia="Garamond" w:hAnsi="Garamond"/>
          <w:sz w:val="16"/>
          <w:szCs w:val="16"/>
        </w:rPr>
      </w:pPr>
      <w:r w:rsidDel="00000000" w:rsidR="00000000" w:rsidRPr="00000000">
        <w:rPr>
          <w:rtl w:val="0"/>
        </w:rPr>
      </w:r>
    </w:p>
    <w:p w:rsidR="00000000" w:rsidDel="00000000" w:rsidP="00000000" w:rsidRDefault="00000000" w:rsidRPr="00000000" w14:paraId="00000377">
      <w:pPr>
        <w:jc w:val="center"/>
        <w:rPr>
          <w:rFonts w:ascii="Garamond" w:cs="Garamond" w:eastAsia="Garamond" w:hAnsi="Garamond"/>
          <w:sz w:val="16"/>
          <w:szCs w:val="16"/>
        </w:rPr>
      </w:pPr>
      <w:r w:rsidDel="00000000" w:rsidR="00000000" w:rsidRPr="00000000">
        <w:rPr>
          <w:rtl w:val="0"/>
        </w:rPr>
      </w:r>
    </w:p>
    <w:p w:rsidR="00000000" w:rsidDel="00000000" w:rsidP="00000000" w:rsidRDefault="00000000" w:rsidRPr="00000000" w14:paraId="00000378">
      <w:pPr>
        <w:jc w:val="center"/>
        <w:rPr>
          <w:rFonts w:ascii="Garamond" w:cs="Garamond" w:eastAsia="Garamond" w:hAnsi="Garamond"/>
          <w:sz w:val="16"/>
          <w:szCs w:val="16"/>
        </w:rPr>
      </w:pPr>
      <w:r w:rsidDel="00000000" w:rsidR="00000000" w:rsidRPr="00000000">
        <w:rPr>
          <w:rFonts w:ascii="Garamond" w:cs="Garamond" w:eastAsia="Garamond" w:hAnsi="Garamond"/>
          <w:sz w:val="16"/>
          <w:szCs w:val="16"/>
        </w:rPr>
        <w:drawing>
          <wp:inline distB="114300" distT="114300" distL="114300" distR="114300">
            <wp:extent cx="6524625" cy="4395788"/>
            <wp:effectExtent b="0" l="0" r="0" t="0"/>
            <wp:docPr id="23" name="image15.png"/>
            <a:graphic>
              <a:graphicData uri="http://schemas.openxmlformats.org/drawingml/2006/picture">
                <pic:pic>
                  <pic:nvPicPr>
                    <pic:cNvPr id="0" name="image15.png"/>
                    <pic:cNvPicPr preferRelativeResize="0"/>
                  </pic:nvPicPr>
                  <pic:blipFill>
                    <a:blip r:embed="rId46"/>
                    <a:srcRect b="0" l="0" r="0" t="0"/>
                    <a:stretch>
                      <a:fillRect/>
                    </a:stretch>
                  </pic:blipFill>
                  <pic:spPr>
                    <a:xfrm>
                      <a:off x="0" y="0"/>
                      <a:ext cx="6524625" cy="4395788"/>
                    </a:xfrm>
                    <a:prstGeom prst="rect"/>
                    <a:ln/>
                  </pic:spPr>
                </pic:pic>
              </a:graphicData>
            </a:graphic>
          </wp:inline>
        </w:drawing>
      </w:r>
      <w:r w:rsidDel="00000000" w:rsidR="00000000" w:rsidRPr="00000000">
        <w:rPr>
          <w:rtl w:val="0"/>
        </w:rPr>
      </w:r>
    </w:p>
    <w:p w:rsidR="00000000" w:rsidDel="00000000" w:rsidP="00000000" w:rsidRDefault="00000000" w:rsidRPr="00000000" w14:paraId="00000379">
      <w:pPr>
        <w:jc w:val="center"/>
        <w:rPr>
          <w:rFonts w:ascii="Garamond" w:cs="Garamond" w:eastAsia="Garamond" w:hAnsi="Garamond"/>
          <w:sz w:val="16"/>
          <w:szCs w:val="16"/>
        </w:rPr>
      </w:pPr>
      <w:r w:rsidDel="00000000" w:rsidR="00000000" w:rsidRPr="00000000">
        <w:rPr>
          <w:rtl w:val="0"/>
        </w:rPr>
      </w:r>
    </w:p>
    <w:p w:rsidR="00000000" w:rsidDel="00000000" w:rsidP="00000000" w:rsidRDefault="00000000" w:rsidRPr="00000000" w14:paraId="0000037A">
      <w:pPr>
        <w:jc w:val="center"/>
        <w:rPr>
          <w:rFonts w:ascii="Garamond" w:cs="Garamond" w:eastAsia="Garamond" w:hAnsi="Garamond"/>
          <w:sz w:val="16"/>
          <w:szCs w:val="16"/>
        </w:rPr>
      </w:pPr>
      <w:r w:rsidDel="00000000" w:rsidR="00000000" w:rsidRPr="00000000">
        <w:rPr>
          <w:rtl w:val="0"/>
        </w:rPr>
      </w:r>
    </w:p>
    <w:p w:rsidR="00000000" w:rsidDel="00000000" w:rsidP="00000000" w:rsidRDefault="00000000" w:rsidRPr="00000000" w14:paraId="0000037B">
      <w:pPr>
        <w:jc w:val="center"/>
        <w:rPr>
          <w:rFonts w:ascii="Garamond" w:cs="Garamond" w:eastAsia="Garamond" w:hAnsi="Garamond"/>
          <w:sz w:val="16"/>
          <w:szCs w:val="16"/>
        </w:rPr>
      </w:pPr>
      <w:r w:rsidDel="00000000" w:rsidR="00000000" w:rsidRPr="00000000">
        <w:rPr>
          <w:rtl w:val="0"/>
        </w:rPr>
      </w:r>
    </w:p>
    <w:p w:rsidR="00000000" w:rsidDel="00000000" w:rsidP="00000000" w:rsidRDefault="00000000" w:rsidRPr="00000000" w14:paraId="0000037C">
      <w:pPr>
        <w:jc w:val="center"/>
        <w:rPr>
          <w:rFonts w:ascii="Garamond" w:cs="Garamond" w:eastAsia="Garamond" w:hAnsi="Garamond"/>
          <w:color w:val="000000"/>
          <w:sz w:val="16"/>
          <w:szCs w:val="16"/>
        </w:rPr>
      </w:pPr>
      <w:r w:rsidDel="00000000" w:rsidR="00000000" w:rsidRPr="00000000">
        <w:rPr>
          <w:rFonts w:ascii="Garamond" w:cs="Garamond" w:eastAsia="Garamond" w:hAnsi="Garamond"/>
          <w:color w:val="000000"/>
          <w:sz w:val="16"/>
          <w:szCs w:val="16"/>
          <w:rtl w:val="0"/>
        </w:rPr>
        <w:t xml:space="preserve"> Fuente Colombia Compra Eficiente MAE – Análisis de la Oferta </w:t>
      </w:r>
      <w:r w:rsidDel="00000000" w:rsidR="00000000" w:rsidRPr="00000000">
        <w:rPr>
          <w:rFonts w:ascii="Garamond" w:cs="Garamond" w:eastAsia="Garamond" w:hAnsi="Garamond"/>
          <w:color w:val="000000"/>
          <w:sz w:val="16"/>
          <w:szCs w:val="16"/>
          <w:vertAlign w:val="superscript"/>
        </w:rPr>
        <w:footnoteReference w:customMarkFollows="0" w:id="20"/>
      </w:r>
      <w:r w:rsidDel="00000000" w:rsidR="00000000" w:rsidRPr="00000000">
        <w:rPr>
          <w:rtl w:val="0"/>
        </w:rPr>
      </w:r>
    </w:p>
    <w:p w:rsidR="00000000" w:rsidDel="00000000" w:rsidP="00000000" w:rsidRDefault="00000000" w:rsidRPr="00000000" w14:paraId="0000037D">
      <w:pPr>
        <w:jc w:val="center"/>
        <w:rPr>
          <w:rFonts w:ascii="Garamond" w:cs="Garamond" w:eastAsia="Garamond" w:hAnsi="Garamond"/>
          <w:color w:val="000000"/>
          <w:sz w:val="16"/>
          <w:szCs w:val="16"/>
        </w:rPr>
      </w:pPr>
      <w:r w:rsidDel="00000000" w:rsidR="00000000" w:rsidRPr="00000000">
        <w:rPr>
          <w:rtl w:val="0"/>
        </w:rPr>
      </w:r>
    </w:p>
    <w:p w:rsidR="00000000" w:rsidDel="00000000" w:rsidP="00000000" w:rsidRDefault="00000000" w:rsidRPr="00000000" w14:paraId="0000037E">
      <w:pPr>
        <w:jc w:val="center"/>
        <w:rPr>
          <w:rFonts w:ascii="Garamond" w:cs="Garamond" w:eastAsia="Garamond" w:hAnsi="Garamond"/>
          <w:color w:val="000000"/>
          <w:sz w:val="16"/>
          <w:szCs w:val="16"/>
        </w:rPr>
      </w:pPr>
      <w:r w:rsidDel="00000000" w:rsidR="00000000" w:rsidRPr="00000000">
        <w:rPr>
          <w:rtl w:val="0"/>
        </w:rPr>
      </w:r>
    </w:p>
    <w:p w:rsidR="00000000" w:rsidDel="00000000" w:rsidP="00000000" w:rsidRDefault="00000000" w:rsidRPr="00000000" w14:paraId="0000037F">
      <w:pPr>
        <w:pStyle w:val="Heading1"/>
        <w:tabs>
          <w:tab w:val="left" w:leader="none" w:pos="839"/>
        </w:tabs>
        <w:spacing w:before="1" w:lineRule="auto"/>
        <w:ind w:left="0" w:firstLine="0"/>
        <w:jc w:val="both"/>
        <w:rPr>
          <w:rFonts w:ascii="Garamond" w:cs="Garamond" w:eastAsia="Garamond" w:hAnsi="Garamond"/>
          <w:b w:val="0"/>
          <w:bCs w:val="0"/>
          <w:highlight w:val="white"/>
        </w:rPr>
      </w:pPr>
      <w:r w:rsidDel="00000000" w:rsidR="00000000" w:rsidRPr="00000000">
        <w:rPr>
          <w:rFonts w:ascii="Garamond" w:cs="Garamond" w:eastAsia="Garamond" w:hAnsi="Garamond"/>
          <w:b w:val="0"/>
          <w:bCs w:val="0"/>
          <w:highlight w:val="white"/>
          <w:rtl w:val="0"/>
        </w:rPr>
        <w:t xml:space="preserve">A partir de la información registrada en el </w:t>
      </w:r>
      <w:r w:rsidDel="00000000" w:rsidR="00000000" w:rsidRPr="00000000">
        <w:rPr>
          <w:rFonts w:ascii="Garamond" w:cs="Garamond" w:eastAsia="Garamond" w:hAnsi="Garamond"/>
          <w:highlight w:val="white"/>
          <w:rtl w:val="0"/>
        </w:rPr>
        <w:t xml:space="preserve">Modelo de Abastecimiento Estratégico – MAE de Colombia Compra Eficiente</w:t>
      </w:r>
      <w:r w:rsidDel="00000000" w:rsidR="00000000" w:rsidRPr="00000000">
        <w:rPr>
          <w:rFonts w:ascii="Garamond" w:cs="Garamond" w:eastAsia="Garamond" w:hAnsi="Garamond"/>
          <w:b w:val="0"/>
          <w:bCs w:val="0"/>
          <w:highlight w:val="white"/>
          <w:rtl w:val="0"/>
        </w:rPr>
        <w:t xml:space="preserve">, específicamente en la </w:t>
      </w:r>
      <w:r w:rsidDel="00000000" w:rsidR="00000000" w:rsidRPr="00000000">
        <w:rPr>
          <w:rFonts w:ascii="Garamond" w:cs="Garamond" w:eastAsia="Garamond" w:hAnsi="Garamond"/>
          <w:highlight w:val="white"/>
          <w:rtl w:val="0"/>
        </w:rPr>
        <w:t xml:space="preserve">Herramienta de Análisis de la Oferta</w:t>
      </w:r>
      <w:r w:rsidDel="00000000" w:rsidR="00000000" w:rsidRPr="00000000">
        <w:rPr>
          <w:rFonts w:ascii="Garamond" w:cs="Garamond" w:eastAsia="Garamond" w:hAnsi="Garamond"/>
          <w:b w:val="0"/>
          <w:bCs w:val="0"/>
          <w:highlight w:val="white"/>
          <w:rtl w:val="0"/>
        </w:rPr>
        <w:t xml:space="preserve">, se identificó para la vigencia 2025 un valor total estimado por proveedor de </w:t>
      </w:r>
      <w:r w:rsidDel="00000000" w:rsidR="00000000" w:rsidRPr="00000000">
        <w:rPr>
          <w:rFonts w:ascii="Garamond" w:cs="Garamond" w:eastAsia="Garamond" w:hAnsi="Garamond"/>
          <w:highlight w:val="white"/>
          <w:rtl w:val="0"/>
        </w:rPr>
        <w:t xml:space="preserve">$1.060.513.155.187</w:t>
      </w:r>
      <w:r w:rsidDel="00000000" w:rsidR="00000000" w:rsidRPr="00000000">
        <w:rPr>
          <w:rFonts w:ascii="Garamond" w:cs="Garamond" w:eastAsia="Garamond" w:hAnsi="Garamond"/>
          <w:b w:val="0"/>
          <w:bCs w:val="0"/>
          <w:highlight w:val="white"/>
          <w:rtl w:val="0"/>
        </w:rPr>
        <w:t xml:space="preserve">, distribuido en </w:t>
      </w:r>
      <w:r w:rsidDel="00000000" w:rsidR="00000000" w:rsidRPr="00000000">
        <w:rPr>
          <w:rFonts w:ascii="Garamond" w:cs="Garamond" w:eastAsia="Garamond" w:hAnsi="Garamond"/>
          <w:highlight w:val="white"/>
          <w:rtl w:val="0"/>
        </w:rPr>
        <w:t xml:space="preserve">72 contratos</w:t>
      </w:r>
      <w:r w:rsidDel="00000000" w:rsidR="00000000" w:rsidRPr="00000000">
        <w:rPr>
          <w:rFonts w:ascii="Garamond" w:cs="Garamond" w:eastAsia="Garamond" w:hAnsi="Garamond"/>
          <w:b w:val="0"/>
          <w:bCs w:val="0"/>
          <w:highlight w:val="white"/>
          <w:rtl w:val="0"/>
        </w:rPr>
        <w:t xml:space="preserve">. </w:t>
      </w:r>
    </w:p>
    <w:p w:rsidR="00000000" w:rsidDel="00000000" w:rsidP="00000000" w:rsidRDefault="00000000" w:rsidRPr="00000000" w14:paraId="00000380">
      <w:pPr>
        <w:pStyle w:val="Heading1"/>
        <w:tabs>
          <w:tab w:val="left" w:leader="none" w:pos="839"/>
        </w:tabs>
        <w:spacing w:before="83" w:lineRule="auto"/>
        <w:ind w:firstLine="0"/>
        <w:rPr>
          <w:rFonts w:ascii="Garamond" w:cs="Garamond" w:eastAsia="Garamond" w:hAnsi="Garamond"/>
        </w:rPr>
      </w:pPr>
      <w:r w:rsidDel="00000000" w:rsidR="00000000" w:rsidRPr="00000000">
        <w:rPr>
          <w:rtl w:val="0"/>
        </w:rPr>
      </w:r>
    </w:p>
    <w:p w:rsidR="00000000" w:rsidDel="00000000" w:rsidP="00000000" w:rsidRDefault="00000000" w:rsidRPr="00000000" w14:paraId="000003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center"/>
        <w:rPr>
          <w:rFonts w:ascii="Garamond" w:cs="Garamond" w:eastAsia="Garamond" w:hAnsi="Garamond"/>
          <w:b w:val="1"/>
          <w:bCs w:val="1"/>
          <w:i w:val="0"/>
          <w:iCs w:val="0"/>
          <w:smallCaps w:val="0"/>
          <w:strike w:val="0"/>
          <w:color w:val="000000"/>
          <w:sz w:val="21"/>
          <w:szCs w:val="21"/>
          <w:u w:val="none"/>
          <w:shd w:fill="auto" w:val="clear"/>
          <w:vertAlign w:val="baseline"/>
        </w:rPr>
      </w:pPr>
      <w:r w:rsidDel="00000000" w:rsidR="00000000" w:rsidRPr="00000000">
        <w:rPr>
          <w:sz w:val="24"/>
          <w:szCs w:val="24"/>
        </w:rPr>
        <w:drawing>
          <wp:inline distB="114300" distT="114300" distL="114300" distR="114300">
            <wp:extent cx="6134100" cy="4038600"/>
            <wp:effectExtent b="0" l="0" r="0" t="0"/>
            <wp:docPr id="18" name="image4.png"/>
            <a:graphic>
              <a:graphicData uri="http://schemas.openxmlformats.org/drawingml/2006/picture">
                <pic:pic>
                  <pic:nvPicPr>
                    <pic:cNvPr id="0" name="image4.png"/>
                    <pic:cNvPicPr preferRelativeResize="0"/>
                  </pic:nvPicPr>
                  <pic:blipFill>
                    <a:blip r:embed="rId47"/>
                    <a:srcRect b="0" l="0" r="0" t="0"/>
                    <a:stretch>
                      <a:fillRect/>
                    </a:stretch>
                  </pic:blipFill>
                  <pic:spPr>
                    <a:xfrm>
                      <a:off x="0" y="0"/>
                      <a:ext cx="6134100" cy="4038600"/>
                    </a:xfrm>
                    <a:prstGeom prst="rect"/>
                    <a:ln/>
                  </pic:spPr>
                </pic:pic>
              </a:graphicData>
            </a:graphic>
          </wp:inline>
        </w:drawing>
      </w:r>
      <w:r w:rsidDel="00000000" w:rsidR="00000000" w:rsidRPr="00000000">
        <w:rPr>
          <w:rtl w:val="0"/>
        </w:rPr>
      </w:r>
    </w:p>
    <w:p w:rsidR="00000000" w:rsidDel="00000000" w:rsidP="00000000" w:rsidRDefault="00000000" w:rsidRPr="00000000" w14:paraId="000003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0"/>
          <w:bCs w:val="0"/>
          <w:i w:val="0"/>
          <w:iCs w:val="0"/>
          <w:smallCaps w:val="0"/>
          <w:strike w:val="0"/>
          <w:color w:val="000000"/>
          <w:sz w:val="20"/>
          <w:szCs w:val="20"/>
          <w:highlight w:val="white"/>
          <w:u w:val="none"/>
          <w:vertAlign w:val="baseline"/>
        </w:rPr>
      </w:pPr>
      <w:r w:rsidDel="00000000" w:rsidR="00000000" w:rsidRPr="00000000">
        <w:rPr>
          <w:rtl w:val="0"/>
        </w:rPr>
      </w:r>
    </w:p>
    <w:p w:rsidR="00000000" w:rsidDel="00000000" w:rsidP="00000000" w:rsidRDefault="00000000" w:rsidRPr="00000000" w14:paraId="00000383">
      <w:pPr>
        <w:jc w:val="center"/>
        <w:rPr>
          <w:rFonts w:ascii="Garamond" w:cs="Garamond" w:eastAsia="Garamond" w:hAnsi="Garamond"/>
          <w:b w:val="0"/>
          <w:bCs w:val="0"/>
          <w:i w:val="0"/>
          <w:iCs w:val="0"/>
          <w:smallCaps w:val="0"/>
          <w:strike w:val="0"/>
          <w:color w:val="000000"/>
          <w:sz w:val="18"/>
          <w:szCs w:val="18"/>
          <w:highlight w:val="white"/>
          <w:u w:val="none"/>
          <w:vertAlign w:val="baseline"/>
        </w:rPr>
      </w:pPr>
      <w:r w:rsidDel="00000000" w:rsidR="00000000" w:rsidRPr="00000000">
        <w:rPr>
          <w:rFonts w:ascii="Garamond" w:cs="Garamond" w:eastAsia="Garamond" w:hAnsi="Garamond"/>
          <w:color w:val="000000"/>
          <w:sz w:val="16"/>
          <w:szCs w:val="16"/>
          <w:highlight w:val="white"/>
          <w:rtl w:val="0"/>
        </w:rPr>
        <w:t xml:space="preserve">Fuente Colombia Compra Eficiente MAE – Análisis de la Oferta </w:t>
      </w:r>
      <w:r w:rsidDel="00000000" w:rsidR="00000000" w:rsidRPr="00000000">
        <w:rPr>
          <w:rFonts w:ascii="Garamond" w:cs="Garamond" w:eastAsia="Garamond" w:hAnsi="Garamond"/>
          <w:color w:val="000000"/>
          <w:sz w:val="16"/>
          <w:szCs w:val="16"/>
          <w:highlight w:val="white"/>
          <w:vertAlign w:val="superscript"/>
        </w:rPr>
        <w:footnoteReference w:customMarkFollows="0" w:id="21"/>
      </w:r>
      <w:r w:rsidDel="00000000" w:rsidR="00000000" w:rsidRPr="00000000">
        <w:rPr>
          <w:rtl w:val="0"/>
        </w:rPr>
      </w:r>
    </w:p>
    <w:p w:rsidR="00000000" w:rsidDel="00000000" w:rsidP="00000000" w:rsidRDefault="00000000" w:rsidRPr="00000000" w14:paraId="000003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center"/>
        <w:rPr>
          <w:rFonts w:ascii="Garamond" w:cs="Garamond" w:eastAsia="Garamond" w:hAnsi="Garamond"/>
          <w:b w:val="1"/>
          <w:bCs w:val="1"/>
          <w:i w:val="0"/>
          <w:iCs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385">
      <w:pPr>
        <w:tabs>
          <w:tab w:val="left" w:leader="none" w:pos="1068"/>
        </w:tabs>
        <w:spacing w:after="240" w:befor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De acuerdo con la información registrada en la gráfica anterior, se evidencia que, por valor total estimado, la entidad con mayor participación corresponde a UNIMÁS, con una cifra superior a los $30 mil millones, seguida por el Distrito Especial de Ciencia, Tecnología e Innovación de Medellín, la Secretaría de Educación Distrital y Ecopetrol S.A., entidades que presentan valores representativos dentro del comportamiento contractual analizado.</w:t>
      </w:r>
    </w:p>
    <w:p w:rsidR="00000000" w:rsidDel="00000000" w:rsidP="00000000" w:rsidRDefault="00000000" w:rsidRPr="00000000" w14:paraId="00000386">
      <w:pPr>
        <w:tabs>
          <w:tab w:val="left" w:leader="none" w:pos="1068"/>
        </w:tabs>
        <w:spacing w:after="240" w:befor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En cuanto al número de contratos, se observa que la Secretaría Distrital de Integración Social presenta el mayor volumen contractual dentro de la gráfica, seguida por otras entidades que también registran una participación importante en términos de cantidad de contratos.</w:t>
      </w:r>
    </w:p>
    <w:p w:rsidR="00000000" w:rsidDel="00000000" w:rsidP="00000000" w:rsidRDefault="00000000" w:rsidRPr="00000000" w14:paraId="00000387">
      <w:pPr>
        <w:tabs>
          <w:tab w:val="left" w:leader="none" w:pos="1068"/>
        </w:tabs>
        <w:spacing w:after="240" w:befor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En términos generales, la información permite evidenciar una demanda pública activa en los sectores analizados, asociada a bienes y servicios relacionados con actividades profesionales, científicas y técnicas, servicios educativos, logísticos, tecnológicos y demás actividades de apoyo. La distribución observada refleja que el mercado no se concentra únicamente en una sola entidad, sino que presenta participación de diferentes entidades estatales, lo cual permite soportar la existencia de antecedentes contractuales, pluralidad de demanda institucional y pertinencia del proceso de contratación que se pretende adelantar</w:t>
      </w:r>
    </w:p>
    <w:p w:rsidR="00000000" w:rsidDel="00000000" w:rsidP="00000000" w:rsidRDefault="00000000" w:rsidRPr="00000000" w14:paraId="00000388">
      <w:pPr>
        <w:tabs>
          <w:tab w:val="left" w:leader="none" w:pos="1068"/>
        </w:tabs>
        <w:jc w:val="left"/>
        <w:rPr>
          <w:rFonts w:ascii="Garamond" w:cs="Garamond" w:eastAsia="Garamond" w:hAnsi="Garamond"/>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190500</wp:posOffset>
            </wp:positionV>
            <wp:extent cx="5593751" cy="3500438"/>
            <wp:effectExtent b="0" l="0" r="0" t="0"/>
            <wp:wrapSquare wrapText="bothSides" distB="114300" distT="114300" distL="114300" distR="114300"/>
            <wp:docPr id="17" name="image13.png"/>
            <a:graphic>
              <a:graphicData uri="http://schemas.openxmlformats.org/drawingml/2006/picture">
                <pic:pic>
                  <pic:nvPicPr>
                    <pic:cNvPr id="0" name="image13.png"/>
                    <pic:cNvPicPr preferRelativeResize="0"/>
                  </pic:nvPicPr>
                  <pic:blipFill>
                    <a:blip r:embed="rId48"/>
                    <a:srcRect b="0" l="0" r="0" t="0"/>
                    <a:stretch>
                      <a:fillRect/>
                    </a:stretch>
                  </pic:blipFill>
                  <pic:spPr>
                    <a:xfrm>
                      <a:off x="0" y="0"/>
                      <a:ext cx="5593751" cy="3500438"/>
                    </a:xfrm>
                    <a:prstGeom prst="rect"/>
                    <a:ln/>
                  </pic:spPr>
                </pic:pic>
              </a:graphicData>
            </a:graphic>
          </wp:anchor>
        </w:drawing>
      </w:r>
    </w:p>
    <w:p w:rsidR="00000000" w:rsidDel="00000000" w:rsidP="00000000" w:rsidRDefault="00000000" w:rsidRPr="00000000" w14:paraId="00000389">
      <w:pPr>
        <w:tabs>
          <w:tab w:val="left" w:leader="none" w:pos="1068"/>
        </w:tabs>
        <w:jc w:val="center"/>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8A">
      <w:pPr>
        <w:tabs>
          <w:tab w:val="left" w:leader="none" w:pos="1068"/>
        </w:tabs>
        <w:jc w:val="center"/>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8B">
      <w:pPr>
        <w:tabs>
          <w:tab w:val="left" w:leader="none" w:pos="1068"/>
        </w:tabs>
        <w:jc w:val="center"/>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8C">
      <w:pPr>
        <w:tabs>
          <w:tab w:val="left" w:leader="none" w:pos="1068"/>
        </w:tabs>
        <w:jc w:val="center"/>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8D">
      <w:pPr>
        <w:tabs>
          <w:tab w:val="left" w:leader="none" w:pos="1068"/>
        </w:tabs>
        <w:jc w:val="center"/>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8E">
      <w:pPr>
        <w:tabs>
          <w:tab w:val="left" w:leader="none" w:pos="1068"/>
        </w:tabs>
        <w:jc w:val="center"/>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8F">
      <w:pPr>
        <w:tabs>
          <w:tab w:val="left" w:leader="none" w:pos="1068"/>
        </w:tabs>
        <w:jc w:val="center"/>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90">
      <w:pPr>
        <w:tabs>
          <w:tab w:val="left" w:leader="none" w:pos="1068"/>
        </w:tabs>
        <w:jc w:val="center"/>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91">
      <w:pPr>
        <w:tabs>
          <w:tab w:val="left" w:leader="none" w:pos="1068"/>
        </w:tabs>
        <w:jc w:val="center"/>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92">
      <w:pPr>
        <w:tabs>
          <w:tab w:val="left" w:leader="none" w:pos="1068"/>
        </w:tabs>
        <w:jc w:val="center"/>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93">
      <w:pPr>
        <w:tabs>
          <w:tab w:val="left" w:leader="none" w:pos="1068"/>
        </w:tabs>
        <w:jc w:val="center"/>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94">
      <w:pPr>
        <w:tabs>
          <w:tab w:val="left" w:leader="none" w:pos="1068"/>
        </w:tabs>
        <w:jc w:val="center"/>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95">
      <w:pPr>
        <w:tabs>
          <w:tab w:val="left" w:leader="none" w:pos="1068"/>
        </w:tabs>
        <w:jc w:val="center"/>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96">
      <w:pPr>
        <w:tabs>
          <w:tab w:val="left" w:leader="none" w:pos="1068"/>
        </w:tabs>
        <w:jc w:val="center"/>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97">
      <w:pPr>
        <w:tabs>
          <w:tab w:val="left" w:leader="none" w:pos="1068"/>
        </w:tabs>
        <w:jc w:val="center"/>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9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9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9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9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9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9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9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9F">
      <w:pPr>
        <w:jc w:val="center"/>
        <w:rPr>
          <w:rFonts w:ascii="Garamond" w:cs="Garamond" w:eastAsia="Garamond" w:hAnsi="Garamond"/>
          <w:color w:val="000000"/>
          <w:sz w:val="16"/>
          <w:szCs w:val="16"/>
        </w:rPr>
      </w:pPr>
      <w:r w:rsidDel="00000000" w:rsidR="00000000" w:rsidRPr="00000000">
        <w:rPr>
          <w:rFonts w:ascii="Garamond" w:cs="Garamond" w:eastAsia="Garamond" w:hAnsi="Garamond"/>
          <w:color w:val="000000"/>
          <w:sz w:val="16"/>
          <w:szCs w:val="16"/>
          <w:rtl w:val="0"/>
        </w:rPr>
        <w:t xml:space="preserve">Fuente Colombia Compra Eficiente MAE – Análisis de la Oferta </w:t>
      </w:r>
      <w:r w:rsidDel="00000000" w:rsidR="00000000" w:rsidRPr="00000000">
        <w:rPr>
          <w:rFonts w:ascii="Garamond" w:cs="Garamond" w:eastAsia="Garamond" w:hAnsi="Garamond"/>
          <w:color w:val="000000"/>
          <w:sz w:val="16"/>
          <w:szCs w:val="16"/>
          <w:vertAlign w:val="superscript"/>
        </w:rPr>
        <w:footnoteReference w:customMarkFollows="0" w:id="22"/>
      </w:r>
      <w:r w:rsidDel="00000000" w:rsidR="00000000" w:rsidRPr="00000000">
        <w:rPr>
          <w:rtl w:val="0"/>
        </w:rPr>
      </w:r>
    </w:p>
    <w:p w:rsidR="00000000" w:rsidDel="00000000" w:rsidP="00000000" w:rsidRDefault="00000000" w:rsidRPr="00000000" w14:paraId="000003A0">
      <w:pPr>
        <w:jc w:val="center"/>
        <w:rPr>
          <w:rFonts w:ascii="Garamond" w:cs="Garamond" w:eastAsia="Garamond" w:hAnsi="Garamond"/>
          <w:color w:val="000000"/>
          <w:sz w:val="16"/>
          <w:szCs w:val="16"/>
        </w:rPr>
      </w:pPr>
      <w:r w:rsidDel="00000000" w:rsidR="00000000" w:rsidRPr="00000000">
        <w:rPr>
          <w:rtl w:val="0"/>
        </w:rPr>
      </w:r>
    </w:p>
    <w:p w:rsidR="00000000" w:rsidDel="00000000" w:rsidP="00000000" w:rsidRDefault="00000000" w:rsidRPr="00000000" w14:paraId="000003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 w:lineRule="auto"/>
        <w:ind w:left="478" w:right="136"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 w:lineRule="auto"/>
        <w:ind w:left="0" w:right="136"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El FDLSC, una vez verificados los procesos mencionados en el análisis de la oferta, los ha tomado con el propósito de ayudar a establecer los posibles oferentes que pueden suplir la necesidad planteada por la entidad, sin embargo, no tendrá en cuenta los valores previstos en estos procesos, en razón a las características especiales presentadas por área.</w:t>
      </w:r>
    </w:p>
    <w:p w:rsidR="00000000" w:rsidDel="00000000" w:rsidP="00000000" w:rsidRDefault="00000000" w:rsidRPr="00000000" w14:paraId="000003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 w:lineRule="auto"/>
        <w:ind w:left="478" w:right="136" w:firstLine="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 w:lineRule="auto"/>
        <w:ind w:left="478" w:right="136" w:firstLine="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 w:lineRule="auto"/>
        <w:ind w:left="478" w:right="136" w:firstLine="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 w:lineRule="auto"/>
        <w:ind w:left="478" w:right="136" w:firstLine="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 w:lineRule="auto"/>
        <w:ind w:left="478" w:right="136"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A8">
      <w:pPr>
        <w:pStyle w:val="Heading1"/>
        <w:numPr>
          <w:ilvl w:val="0"/>
          <w:numId w:val="10"/>
        </w:numPr>
        <w:tabs>
          <w:tab w:val="left" w:leader="none" w:pos="839"/>
        </w:tabs>
        <w:spacing w:before="1" w:lineRule="auto"/>
        <w:ind w:left="402" w:hanging="284"/>
        <w:rPr>
          <w:rFonts w:ascii="Garamond" w:cs="Garamond" w:eastAsia="Garamond" w:hAnsi="Garamond"/>
        </w:rPr>
      </w:pPr>
      <w:r w:rsidDel="00000000" w:rsidR="00000000" w:rsidRPr="00000000">
        <w:rPr>
          <w:rFonts w:ascii="Garamond" w:cs="Garamond" w:eastAsia="Garamond" w:hAnsi="Garamond"/>
          <w:rtl w:val="0"/>
        </w:rPr>
        <w:t xml:space="preserve">ANÁLISIS FINANCIERO</w:t>
      </w:r>
    </w:p>
    <w:p w:rsidR="00000000" w:rsidDel="00000000" w:rsidP="00000000" w:rsidRDefault="00000000" w:rsidRPr="00000000" w14:paraId="000003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left"/>
        <w:rPr>
          <w:rFonts w:ascii="Garamond" w:cs="Garamond" w:eastAsia="Garamond" w:hAnsi="Garamond"/>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La Agencia Nacional de Contratación Pública – Colombia Compra Eficiente, tiene dentro de sus funciones elaborar y difundir instrumentos y herramientas que faciliten las compras y la contratación pública y promover las mejores prácticas, la eficiencia, transparencia y competitividad para lo cual ha emitido el “</w:t>
      </w:r>
      <w:r w:rsidDel="00000000" w:rsidR="00000000" w:rsidRPr="00000000">
        <w:rPr>
          <w:rFonts w:ascii="Garamond" w:cs="Garamond" w:eastAsia="Garamond" w:hAnsi="Garamond"/>
          <w:b w:val="1"/>
          <w:bCs w:val="1"/>
          <w:i w:val="0"/>
          <w:iCs w:val="0"/>
          <w:smallCaps w:val="0"/>
          <w:strike w:val="0"/>
          <w:color w:val="000000"/>
          <w:sz w:val="24"/>
          <w:szCs w:val="24"/>
          <w:u w:val="none"/>
          <w:shd w:fill="auto" w:val="clear"/>
          <w:vertAlign w:val="baseline"/>
          <w:rtl w:val="0"/>
        </w:rPr>
        <w:t xml:space="preserve">Manual para determinar y verificar los requisitos habilitantes en los procesos de contratación”,</w:t>
      </w: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 a su vez la TVEC brinda el “Instructivo para determinar, verificar y evaluar los componentes financieros y la capacidad organizacional en los procesos de contratación” por lo tanto, la FDLSC ha orientado la metodología para establecer los indicadores financieros y organizacionales que permitirán verificar las condiciones mínimas financieras de los participantes en el presente proceso de contratación.</w:t>
      </w:r>
    </w:p>
    <w:p w:rsidR="00000000" w:rsidDel="00000000" w:rsidP="00000000" w:rsidRDefault="00000000" w:rsidRPr="00000000" w14:paraId="000003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El comité evaluador procederá a realizar la evaluación de la capacidad financiera a través de la verificación de los indicadores financieros, de acuerdo con la información establecida en la documentación solicitada. La verificación del cumplimiento de la capacidad financiera mínima exigida por la entidad es un requisito habilitante para la participación de la propuesta en el proceso de selección y no otorga puntaje, en concordancia con lo establecido en el numeral 1º del Artículo 5° de la Ley 1150 de 2007.</w:t>
      </w:r>
    </w:p>
    <w:p w:rsidR="00000000" w:rsidDel="00000000" w:rsidP="00000000" w:rsidRDefault="00000000" w:rsidRPr="00000000" w14:paraId="000003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En este sentido, el proponente que no cuente con la capacidad financiera exigida en la propuesta, se le considerará como NO HABILITADA POR FALTA DE CAPACIDAD FINANCIERA y por ende NO será evaluada.</w:t>
      </w:r>
    </w:p>
    <w:p w:rsidR="00000000" w:rsidDel="00000000" w:rsidP="00000000" w:rsidRDefault="00000000" w:rsidRPr="00000000" w14:paraId="000003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0" w:right="0" w:firstLine="0"/>
        <w:jc w:val="both"/>
        <w:rPr>
          <w:rFonts w:ascii="Garamond" w:cs="Garamond" w:eastAsia="Garamond" w:hAnsi="Garamond"/>
          <w:b w:val="1"/>
          <w:bCs w:val="1"/>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1"/>
          <w:bCs w:val="1"/>
          <w:i w:val="0"/>
          <w:iCs w:val="0"/>
          <w:smallCaps w:val="0"/>
          <w:strike w:val="0"/>
          <w:color w:val="000000"/>
          <w:sz w:val="24"/>
          <w:szCs w:val="24"/>
          <w:u w:val="none"/>
          <w:shd w:fill="auto" w:val="clear"/>
          <w:vertAlign w:val="baseline"/>
          <w:rtl w:val="0"/>
        </w:rPr>
        <w:t xml:space="preserve">Proyección de los Indicadores Financieros</w:t>
      </w:r>
    </w:p>
    <w:p w:rsidR="00000000" w:rsidDel="00000000" w:rsidP="00000000" w:rsidRDefault="00000000" w:rsidRPr="00000000" w14:paraId="000003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Para la proyección de los indicadores financieros del proceso, se analizan los sectores que hacen parte de la articulación entre la gestión de las empresas afines con la actividad económica, junto con la gestión de las organizaciones especializadas y la gestión contractual de las alcaldías locales, o con otras entidades públicas del orden distrital y nacional.</w:t>
      </w:r>
    </w:p>
    <w:p w:rsidR="00000000" w:rsidDel="00000000" w:rsidP="00000000" w:rsidRDefault="00000000" w:rsidRPr="00000000" w14:paraId="000003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La muestra analizada permite al Fondo de Desarrollo Local de San Cristóbal tomar como referencia las variaciones, interrelaciones, impactos de los principales indicadores de las empresas para proyectar los indicadores financieros del proceso de manera eficaz, para facilitar la toma de decisiones de los diferentes usuarios, en este caso el sector gobierno.</w:t>
      </w:r>
    </w:p>
    <w:p w:rsidR="00000000" w:rsidDel="00000000" w:rsidP="00000000" w:rsidRDefault="00000000" w:rsidRPr="00000000" w14:paraId="000003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0" w:right="0" w:firstLine="0"/>
        <w:jc w:val="both"/>
        <w:rPr>
          <w:rFonts w:ascii="Garamond" w:cs="Garamond" w:eastAsia="Garamond" w:hAnsi="Garamond"/>
          <w:b w:val="1"/>
          <w:bCs w:val="1"/>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1"/>
          <w:bCs w:val="1"/>
          <w:i w:val="0"/>
          <w:iCs w:val="0"/>
          <w:smallCaps w:val="0"/>
          <w:strike w:val="0"/>
          <w:color w:val="000000"/>
          <w:sz w:val="24"/>
          <w:szCs w:val="24"/>
          <w:u w:val="none"/>
          <w:shd w:fill="auto" w:val="clear"/>
          <w:vertAlign w:val="baseline"/>
          <w:rtl w:val="0"/>
        </w:rPr>
        <w:t xml:space="preserve">Gestión de las empresas afines con la actividad económica:</w:t>
      </w:r>
    </w:p>
    <w:p w:rsidR="00000000" w:rsidDel="00000000" w:rsidP="00000000" w:rsidRDefault="00000000" w:rsidRPr="00000000" w14:paraId="000003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Los indicadores financieros se utilizan para ponderar y evaluar los resultados de las operaciones de las empresas, dichos indicadores son la relación de una cifra con otra dentro o entre los estados financieros de una empresa que permiten ponderar y evaluar los resultados de las operaciones de la compañía.</w:t>
      </w:r>
    </w:p>
    <w:p w:rsidR="00000000" w:rsidDel="00000000" w:rsidP="00000000" w:rsidRDefault="00000000" w:rsidRPr="00000000" w14:paraId="000003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El objetivo está en analizar si el negocio tiene la capacidad suficiente para cumplir con las obligaciones contraídas por y para sus operaciones. Para cada actividad económica se validará un número de empresas que permita evidenciar la tendencia del sector y el comportamiento en el último año. Las empresas especializadas son aquellas que han demostrado con su trayectoria, el respaldo necesario exigida en los diferentes Fondos de Desarrollo local y cumplen con los criterios mínimos solicitados, como son: número de contratos, valor del capital de trabajo, plazo y actividades desarrolladas en el marco de la ejecución de los planes de desarrollo tanto a nivel local como distrital.</w:t>
      </w:r>
    </w:p>
    <w:p w:rsidR="00000000" w:rsidDel="00000000" w:rsidP="00000000" w:rsidRDefault="00000000" w:rsidRPr="00000000" w14:paraId="000003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0" w:right="0" w:firstLine="0"/>
        <w:jc w:val="both"/>
        <w:rPr>
          <w:rFonts w:ascii="Garamond" w:cs="Garamond" w:eastAsia="Garamond" w:hAnsi="Garamond"/>
          <w:b w:val="0"/>
          <w:bCs w:val="0"/>
          <w:i w:val="0"/>
          <w:iCs w:val="0"/>
          <w:smallCaps w:val="0"/>
          <w:strike w:val="0"/>
          <w:color w:val="000000"/>
          <w:sz w:val="14"/>
          <w:szCs w:val="14"/>
          <w:u w:val="none"/>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Para la muestra se toma de las empresas que se han presentado específicamente a los sectores</w:t>
      </w:r>
      <w:r w:rsidDel="00000000" w:rsidR="00000000" w:rsidRPr="00000000">
        <w:rPr>
          <w:rFonts w:ascii="Garamond" w:cs="Garamond" w:eastAsia="Garamond" w:hAnsi="Garamond"/>
          <w:sz w:val="24"/>
          <w:szCs w:val="24"/>
          <w:rtl w:val="0"/>
        </w:rPr>
        <w:t xml:space="preserve">“Sector de Tecnologías de la Información y las Comunicaciones (Sector TIC)”, “Actividades profesionales, científicas y técnicas”, “desarrollo social/educativo” y otras actividades de servicios</w:t>
      </w:r>
      <w:r w:rsidDel="00000000" w:rsidR="00000000" w:rsidRPr="00000000">
        <w:rPr>
          <w:rFonts w:ascii="Garamond" w:cs="Garamond" w:eastAsia="Garamond" w:hAnsi="Garamond"/>
          <w:rtl w:val="0"/>
        </w:rPr>
        <w:t xml:space="preserve">”</w:t>
      </w:r>
      <w:r w:rsidDel="00000000" w:rsidR="00000000" w:rsidRPr="00000000">
        <w:rPr>
          <w:rFonts w:ascii="Garamond" w:cs="Garamond" w:eastAsia="Garamond" w:hAnsi="Garamond"/>
          <w:b w:val="0"/>
          <w:bCs w:val="0"/>
          <w:i w:val="0"/>
          <w:iCs w:val="0"/>
          <w:smallCaps w:val="0"/>
          <w:strike w:val="0"/>
          <w:color w:val="000000"/>
          <w:sz w:val="24"/>
          <w:szCs w:val="24"/>
          <w:u w:val="none"/>
          <w:vertAlign w:val="baseline"/>
          <w:rtl w:val="0"/>
        </w:rPr>
        <w:t xml:space="preserve">, acorde con lo anterior, la muestra de </w:t>
      </w:r>
      <w:r w:rsidDel="00000000" w:rsidR="00000000" w:rsidRPr="00000000">
        <w:rPr>
          <w:rFonts w:ascii="Garamond" w:cs="Garamond" w:eastAsia="Garamond" w:hAnsi="Garamond"/>
          <w:sz w:val="24"/>
          <w:szCs w:val="24"/>
          <w:rtl w:val="0"/>
        </w:rPr>
        <w:t xml:space="preserve">Veinte</w:t>
      </w:r>
      <w:r w:rsidDel="00000000" w:rsidR="00000000" w:rsidRPr="00000000">
        <w:rPr>
          <w:rFonts w:ascii="Garamond" w:cs="Garamond" w:eastAsia="Garamond" w:hAnsi="Garamond"/>
          <w:b w:val="0"/>
          <w:bCs w:val="0"/>
          <w:i w:val="0"/>
          <w:iCs w:val="0"/>
          <w:smallCaps w:val="0"/>
          <w:strike w:val="0"/>
          <w:color w:val="000000"/>
          <w:sz w:val="24"/>
          <w:szCs w:val="24"/>
          <w:u w:val="none"/>
          <w:vertAlign w:val="baseline"/>
          <w:rtl w:val="0"/>
        </w:rPr>
        <w:t xml:space="preserve"> (</w:t>
      </w:r>
      <w:r w:rsidDel="00000000" w:rsidR="00000000" w:rsidRPr="00000000">
        <w:rPr>
          <w:rFonts w:ascii="Garamond" w:cs="Garamond" w:eastAsia="Garamond" w:hAnsi="Garamond"/>
          <w:sz w:val="24"/>
          <w:szCs w:val="24"/>
          <w:rtl w:val="0"/>
        </w:rPr>
        <w:t xml:space="preserve">20</w:t>
      </w:r>
      <w:r w:rsidDel="00000000" w:rsidR="00000000" w:rsidRPr="00000000">
        <w:rPr>
          <w:rFonts w:ascii="Garamond" w:cs="Garamond" w:eastAsia="Garamond" w:hAnsi="Garamond"/>
          <w:b w:val="0"/>
          <w:bCs w:val="0"/>
          <w:i w:val="0"/>
          <w:iCs w:val="0"/>
          <w:smallCaps w:val="0"/>
          <w:strike w:val="0"/>
          <w:color w:val="000000"/>
          <w:sz w:val="24"/>
          <w:szCs w:val="24"/>
          <w:u w:val="none"/>
          <w:vertAlign w:val="baseline"/>
          <w:rtl w:val="0"/>
        </w:rPr>
        <w:t xml:space="preserve">) empresas por actividad económica es la siguiente, que incluye empresas especializadas y las que han participado en procesos de otras alcaldías locales:</w:t>
      </w:r>
      <w:r w:rsidDel="00000000" w:rsidR="00000000" w:rsidRPr="00000000">
        <w:rPr>
          <w:rtl w:val="0"/>
        </w:rPr>
      </w:r>
    </w:p>
    <w:p w:rsidR="00000000" w:rsidDel="00000000" w:rsidP="00000000" w:rsidRDefault="00000000" w:rsidRPr="00000000" w14:paraId="000003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both"/>
        <w:rPr>
          <w:rFonts w:ascii="Garamond" w:cs="Garamond" w:eastAsia="Garamond" w:hAnsi="Garamond"/>
          <w:b w:val="0"/>
          <w:bCs w:val="0"/>
          <w:i w:val="0"/>
          <w:iCs w:val="0"/>
          <w:smallCaps w:val="0"/>
          <w:strike w:val="0"/>
          <w:color w:val="000000"/>
          <w:sz w:val="14"/>
          <w:szCs w:val="14"/>
          <w:u w:val="none"/>
          <w:shd w:fill="auto" w:val="clear"/>
          <w:vertAlign w:val="baseline"/>
        </w:rPr>
      </w:pPr>
      <w:r w:rsidDel="00000000" w:rsidR="00000000" w:rsidRPr="00000000">
        <w:rPr>
          <w:rtl w:val="0"/>
        </w:rPr>
      </w:r>
    </w:p>
    <w:p w:rsidR="00000000" w:rsidDel="00000000" w:rsidP="00000000" w:rsidRDefault="00000000" w:rsidRPr="00000000" w14:paraId="000003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both"/>
        <w:rPr>
          <w:rFonts w:ascii="Garamond" w:cs="Garamond" w:eastAsia="Garamond" w:hAnsi="Garamond"/>
          <w:b w:val="0"/>
          <w:bCs w:val="0"/>
          <w:i w:val="0"/>
          <w:iCs w:val="0"/>
          <w:smallCaps w:val="0"/>
          <w:strike w:val="0"/>
          <w:color w:val="000000"/>
          <w:sz w:val="14"/>
          <w:szCs w:val="14"/>
          <w:u w:val="none"/>
          <w:shd w:fill="auto" w:val="clear"/>
          <w:vertAlign w:val="baseline"/>
        </w:rPr>
      </w:pPr>
      <w:r w:rsidDel="00000000" w:rsidR="00000000" w:rsidRPr="00000000">
        <w:rPr>
          <w:rtl w:val="0"/>
        </w:rPr>
      </w:r>
    </w:p>
    <w:p w:rsidR="00000000" w:rsidDel="00000000" w:rsidP="00000000" w:rsidRDefault="00000000" w:rsidRPr="00000000" w14:paraId="000003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Los proponentes deberán aportar el Certificado de Registro Único de Proponentes vigente.</w:t>
      </w:r>
    </w:p>
    <w:p w:rsidR="00000000" w:rsidDel="00000000" w:rsidP="00000000" w:rsidRDefault="00000000" w:rsidRPr="00000000" w14:paraId="000003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Si este certificado contiene los indicadores de capacidad financiera solicitados en el cuadro de Indicadores para verificar la capacidad financiera con corte a diciembre 31 de 202</w:t>
      </w:r>
      <w:r w:rsidDel="00000000" w:rsidR="00000000" w:rsidRPr="00000000">
        <w:rPr>
          <w:rFonts w:ascii="Garamond" w:cs="Garamond" w:eastAsia="Garamond" w:hAnsi="Garamond"/>
          <w:sz w:val="24"/>
          <w:szCs w:val="24"/>
          <w:rtl w:val="0"/>
        </w:rPr>
        <w:t xml:space="preserve">5</w:t>
      </w: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 y esta información está en firme, bastará con su presentación.</w:t>
      </w:r>
    </w:p>
    <w:p w:rsidR="00000000" w:rsidDel="00000000" w:rsidP="00000000" w:rsidRDefault="00000000" w:rsidRPr="00000000" w14:paraId="000003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De acuerdo con lo anterior información y para garantizar la pluralidad de oferentes se recomienda exigir la siguiente capacidad financiera dentro de los pliegos de condiciones de la siguiente manera:</w:t>
      </w:r>
    </w:p>
    <w:p w:rsidR="00000000" w:rsidDel="00000000" w:rsidP="00000000" w:rsidRDefault="00000000" w:rsidRPr="00000000" w14:paraId="000003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0" w:right="0" w:firstLine="0"/>
        <w:jc w:val="left"/>
        <w:rPr>
          <w:rFonts w:ascii="Garamond" w:cs="Garamond" w:eastAsia="Garamond" w:hAnsi="Garamond"/>
          <w:b w:val="0"/>
          <w:bCs w:val="0"/>
          <w:i w:val="0"/>
          <w:iCs w:val="0"/>
          <w:smallCaps w:val="0"/>
          <w:strike w:val="0"/>
          <w:color w:val="000000"/>
          <w:sz w:val="23"/>
          <w:szCs w:val="23"/>
          <w:u w:val="none"/>
          <w:shd w:fill="auto" w:val="clear"/>
          <w:vertAlign w:val="baseline"/>
        </w:rPr>
      </w:pPr>
      <w:r w:rsidDel="00000000" w:rsidR="00000000" w:rsidRPr="00000000">
        <w:rPr>
          <w:rtl w:val="0"/>
        </w:rPr>
      </w:r>
    </w:p>
    <w:p w:rsidR="00000000" w:rsidDel="00000000" w:rsidP="00000000" w:rsidRDefault="00000000" w:rsidRPr="00000000" w14:paraId="000003C5">
      <w:pPr>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C6">
      <w:pPr>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Índices de capacidad financiera:</w:t>
      </w:r>
    </w:p>
    <w:p w:rsidR="00000000" w:rsidDel="00000000" w:rsidP="00000000" w:rsidRDefault="00000000" w:rsidRPr="00000000" w14:paraId="000003C7">
      <w:pPr>
        <w:rPr>
          <w:rFonts w:ascii="Garamond" w:cs="Garamond" w:eastAsia="Garamond" w:hAnsi="Garamond"/>
          <w:b w:val="1"/>
          <w:bCs w:val="1"/>
          <w:sz w:val="24"/>
          <w:szCs w:val="24"/>
        </w:rPr>
      </w:pPr>
      <w:r w:rsidDel="00000000" w:rsidR="00000000" w:rsidRPr="00000000">
        <w:rPr>
          <w:rtl w:val="0"/>
        </w:rPr>
      </w:r>
    </w:p>
    <w:tbl>
      <w:tblPr>
        <w:tblStyle w:val="Table9"/>
        <w:tblW w:w="9650.0" w:type="dxa"/>
        <w:jc w:val="center"/>
        <w:tblLayout w:type="fixed"/>
        <w:tblLook w:val="0400"/>
      </w:tblPr>
      <w:tblGrid>
        <w:gridCol w:w="3270"/>
        <w:gridCol w:w="388"/>
        <w:gridCol w:w="3161"/>
        <w:gridCol w:w="388"/>
        <w:gridCol w:w="2443"/>
        <w:tblGridChange w:id="0">
          <w:tblGrid>
            <w:gridCol w:w="3270"/>
            <w:gridCol w:w="388"/>
            <w:gridCol w:w="3161"/>
            <w:gridCol w:w="388"/>
            <w:gridCol w:w="2443"/>
          </w:tblGrid>
        </w:tblGridChange>
      </w:tblGrid>
      <w:tr>
        <w:trPr>
          <w:cantSplit w:val="0"/>
          <w:trHeight w:val="40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C8">
            <w:pPr>
              <w:jc w:val="center"/>
              <w:rPr>
                <w:rFonts w:ascii="Garamond" w:cs="Garamond" w:eastAsia="Garamond" w:hAnsi="Garamond"/>
                <w:b w:val="1"/>
                <w:bCs w:val="1"/>
                <w:i w:val="1"/>
                <w:iCs w:val="1"/>
                <w:sz w:val="24"/>
                <w:szCs w:val="24"/>
              </w:rPr>
            </w:pPr>
            <w:r w:rsidDel="00000000" w:rsidR="00000000" w:rsidRPr="00000000">
              <w:rPr>
                <w:rFonts w:ascii="Garamond" w:cs="Garamond" w:eastAsia="Garamond" w:hAnsi="Garamond"/>
                <w:b w:val="1"/>
                <w:bCs w:val="1"/>
                <w:i w:val="1"/>
                <w:iCs w:val="1"/>
                <w:sz w:val="24"/>
                <w:szCs w:val="24"/>
                <w:rtl w:val="0"/>
              </w:rPr>
              <w:t xml:space="preserve">INDICADOR</w:t>
            </w:r>
          </w:p>
        </w:tc>
        <w:tc>
          <w:tcPr>
            <w:tcBorders>
              <w:top w:color="000000" w:space="0" w:sz="4" w:val="single"/>
              <w:left w:color="000000" w:space="0" w:sz="4" w:val="single"/>
              <w:bottom w:color="000000" w:space="0" w:sz="4" w:val="single"/>
              <w:right w:color="000000" w:space="0" w:sz="0" w:val="nil"/>
            </w:tcBorders>
            <w:vAlign w:val="center"/>
          </w:tcPr>
          <w:p w:rsidR="00000000" w:rsidDel="00000000" w:rsidP="00000000" w:rsidRDefault="00000000" w:rsidRPr="00000000" w14:paraId="000003C9">
            <w:pPr>
              <w:jc w:val="center"/>
              <w:rPr>
                <w:rFonts w:ascii="Garamond" w:cs="Garamond" w:eastAsia="Garamond" w:hAnsi="Garamond"/>
                <w:b w:val="1"/>
                <w:bCs w:val="1"/>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CA">
            <w:pPr>
              <w:jc w:val="center"/>
              <w:rPr>
                <w:rFonts w:ascii="Garamond" w:cs="Garamond" w:eastAsia="Garamond" w:hAnsi="Garamond"/>
                <w:b w:val="1"/>
                <w:bCs w:val="1"/>
                <w:i w:val="1"/>
                <w:iCs w:val="1"/>
                <w:sz w:val="24"/>
                <w:szCs w:val="24"/>
              </w:rPr>
            </w:pPr>
            <w:r w:rsidDel="00000000" w:rsidR="00000000" w:rsidRPr="00000000">
              <w:rPr>
                <w:rFonts w:ascii="Garamond" w:cs="Garamond" w:eastAsia="Garamond" w:hAnsi="Garamond"/>
                <w:b w:val="1"/>
                <w:bCs w:val="1"/>
                <w:i w:val="1"/>
                <w:iCs w:val="1"/>
                <w:sz w:val="24"/>
                <w:szCs w:val="24"/>
                <w:rtl w:val="0"/>
              </w:rPr>
              <w:t xml:space="preserve">FORMULA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3CB">
            <w:pPr>
              <w:jc w:val="center"/>
              <w:rPr>
                <w:rFonts w:ascii="Garamond" w:cs="Garamond" w:eastAsia="Garamond" w:hAnsi="Garamond"/>
                <w:b w:val="1"/>
                <w:bCs w:val="1"/>
                <w:i w:val="1"/>
                <w:iCs w:val="1"/>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CC">
            <w:pPr>
              <w:jc w:val="center"/>
              <w:rPr>
                <w:rFonts w:ascii="Garamond" w:cs="Garamond" w:eastAsia="Garamond" w:hAnsi="Garamond"/>
                <w:b w:val="1"/>
                <w:bCs w:val="1"/>
                <w:i w:val="1"/>
                <w:iCs w:val="1"/>
                <w:sz w:val="24"/>
                <w:szCs w:val="24"/>
              </w:rPr>
            </w:pPr>
            <w:r w:rsidDel="00000000" w:rsidR="00000000" w:rsidRPr="00000000">
              <w:rPr>
                <w:rFonts w:ascii="Garamond" w:cs="Garamond" w:eastAsia="Garamond" w:hAnsi="Garamond"/>
                <w:b w:val="1"/>
                <w:bCs w:val="1"/>
                <w:i w:val="1"/>
                <w:iCs w:val="1"/>
                <w:sz w:val="24"/>
                <w:szCs w:val="24"/>
                <w:rtl w:val="0"/>
              </w:rPr>
              <w:t xml:space="preserve">PARAMETRO</w:t>
            </w:r>
          </w:p>
        </w:tc>
      </w:tr>
      <w:tr>
        <w:trPr>
          <w:cantSplit w:val="0"/>
          <w:trHeight w:val="451" w:hRule="atLeast"/>
          <w:tblHeader w:val="0"/>
        </w:trPr>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CD">
            <w:pPr>
              <w:jc w:val="center"/>
              <w:rPr>
                <w:rFonts w:ascii="Garamond" w:cs="Garamond" w:eastAsia="Garamond" w:hAnsi="Garamond"/>
                <w:b w:val="1"/>
                <w:bCs w:val="1"/>
                <w:i w:val="1"/>
                <w:iCs w:val="1"/>
                <w:sz w:val="24"/>
                <w:szCs w:val="24"/>
              </w:rPr>
            </w:pPr>
            <w:r w:rsidDel="00000000" w:rsidR="00000000" w:rsidRPr="00000000">
              <w:rPr>
                <w:rFonts w:ascii="Garamond" w:cs="Garamond" w:eastAsia="Garamond" w:hAnsi="Garamond"/>
                <w:b w:val="1"/>
                <w:bCs w:val="1"/>
                <w:i w:val="1"/>
                <w:iCs w:val="1"/>
                <w:sz w:val="24"/>
                <w:szCs w:val="24"/>
                <w:rtl w:val="0"/>
              </w:rPr>
              <w:t xml:space="preserve">Índice de Liquidez</w:t>
            </w:r>
          </w:p>
        </w:tc>
        <w:tc>
          <w:tcPr>
            <w:vMerge w:val="restart"/>
            <w:tcBorders>
              <w:top w:color="000000" w:space="0" w:sz="4" w:val="single"/>
              <w:left w:color="000000" w:space="0" w:sz="4" w:val="single"/>
              <w:bottom w:color="000000" w:space="0" w:sz="4" w:val="single"/>
              <w:right w:color="000000" w:space="0" w:sz="0" w:val="nil"/>
            </w:tcBorders>
            <w:vAlign w:val="center"/>
          </w:tcPr>
          <w:p w:rsidR="00000000" w:rsidDel="00000000" w:rsidP="00000000" w:rsidRDefault="00000000" w:rsidRPr="00000000" w14:paraId="000003CE">
            <w:pPr>
              <w:jc w:val="center"/>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w:t>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CF">
            <w:pPr>
              <w:jc w:val="center"/>
              <w:rPr>
                <w:rFonts w:ascii="Garamond" w:cs="Garamond" w:eastAsia="Garamond" w:hAnsi="Garamond"/>
                <w:i w:val="1"/>
                <w:iCs w:val="1"/>
                <w:sz w:val="24"/>
                <w:szCs w:val="24"/>
              </w:rPr>
            </w:pPr>
            <w:r w:rsidDel="00000000" w:rsidR="00000000" w:rsidRPr="00000000">
              <w:rPr>
                <w:rFonts w:ascii="Garamond" w:cs="Garamond" w:eastAsia="Garamond" w:hAnsi="Garamond"/>
                <w:i w:val="1"/>
                <w:iCs w:val="1"/>
                <w:sz w:val="24"/>
                <w:szCs w:val="24"/>
                <w:rtl w:val="0"/>
              </w:rPr>
              <w:t xml:space="preserve">Activo Corriente</w:t>
            </w:r>
          </w:p>
        </w:tc>
        <w:tc>
          <w:tcPr>
            <w:vMerge w:val="restart"/>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3D0">
            <w:pPr>
              <w:jc w:val="center"/>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w:t>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D1">
            <w:pPr>
              <w:jc w:val="center"/>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&gt; = 1,13</w:t>
            </w:r>
          </w:p>
        </w:tc>
      </w:tr>
      <w:tr>
        <w:trPr>
          <w:cantSplit w:val="0"/>
          <w:trHeight w:val="451"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aramond" w:cs="Garamond" w:eastAsia="Garamond" w:hAnsi="Garamond"/>
                <w:b w:val="1"/>
                <w:bCs w:val="1"/>
                <w:sz w:val="24"/>
                <w:szCs w:val="24"/>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0" w:val="nil"/>
            </w:tcBorders>
            <w:vAlign w:val="center"/>
          </w:tcPr>
          <w:p w:rsidR="00000000" w:rsidDel="00000000" w:rsidP="00000000" w:rsidRDefault="00000000" w:rsidRPr="00000000" w14:paraId="000003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aramond" w:cs="Garamond" w:eastAsia="Garamond" w:hAnsi="Garamond"/>
                <w:b w:val="1"/>
                <w:bCs w:val="1"/>
                <w:sz w:val="24"/>
                <w:szCs w:val="24"/>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aramond" w:cs="Garamond" w:eastAsia="Garamond" w:hAnsi="Garamond"/>
                <w:b w:val="1"/>
                <w:bCs w:val="1"/>
                <w:sz w:val="24"/>
                <w:szCs w:val="24"/>
              </w:rPr>
            </w:pPr>
            <w:r w:rsidDel="00000000" w:rsidR="00000000" w:rsidRPr="00000000">
              <w:rPr>
                <w:rtl w:val="0"/>
              </w:rPr>
            </w:r>
          </w:p>
        </w:tc>
        <w:tc>
          <w:tcPr>
            <w:vMerge w:val="continue"/>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3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aramond" w:cs="Garamond" w:eastAsia="Garamond" w:hAnsi="Garamond"/>
                <w:b w:val="1"/>
                <w:bCs w:val="1"/>
                <w:sz w:val="24"/>
                <w:szCs w:val="24"/>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aramond" w:cs="Garamond" w:eastAsia="Garamond" w:hAnsi="Garamond"/>
                <w:b w:val="1"/>
                <w:bCs w:val="1"/>
                <w:sz w:val="24"/>
                <w:szCs w:val="24"/>
              </w:rPr>
            </w:pPr>
            <w:r w:rsidDel="00000000" w:rsidR="00000000" w:rsidRPr="00000000">
              <w:rPr>
                <w:rtl w:val="0"/>
              </w:rPr>
            </w:r>
          </w:p>
        </w:tc>
      </w:tr>
      <w:tr>
        <w:trPr>
          <w:cantSplit w:val="0"/>
          <w:trHeight w:val="451"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aramond" w:cs="Garamond" w:eastAsia="Garamond" w:hAnsi="Garamond"/>
                <w:b w:val="1"/>
                <w:bCs w:val="1"/>
                <w:sz w:val="24"/>
                <w:szCs w:val="24"/>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0" w:val="nil"/>
            </w:tcBorders>
            <w:vAlign w:val="center"/>
          </w:tcPr>
          <w:p w:rsidR="00000000" w:rsidDel="00000000" w:rsidP="00000000" w:rsidRDefault="00000000" w:rsidRPr="00000000" w14:paraId="000003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aramond" w:cs="Garamond" w:eastAsia="Garamond" w:hAnsi="Garamond"/>
                <w:b w:val="1"/>
                <w:bCs w:val="1"/>
                <w:sz w:val="24"/>
                <w:szCs w:val="24"/>
              </w:rPr>
            </w:pPr>
            <w:r w:rsidDel="00000000" w:rsidR="00000000" w:rsidRPr="00000000">
              <w:rPr>
                <w:rtl w:val="0"/>
              </w:rPr>
            </w:r>
          </w:p>
        </w:tc>
        <w:tc>
          <w:tcPr>
            <w:vMerge w:val="restart"/>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3D9">
            <w:pPr>
              <w:jc w:val="center"/>
              <w:rPr>
                <w:rFonts w:ascii="Garamond" w:cs="Garamond" w:eastAsia="Garamond" w:hAnsi="Garamond"/>
                <w:i w:val="1"/>
                <w:iCs w:val="1"/>
                <w:sz w:val="24"/>
                <w:szCs w:val="24"/>
              </w:rPr>
            </w:pPr>
            <w:r w:rsidDel="00000000" w:rsidR="00000000" w:rsidRPr="00000000">
              <w:rPr>
                <w:rFonts w:ascii="Garamond" w:cs="Garamond" w:eastAsia="Garamond" w:hAnsi="Garamond"/>
                <w:i w:val="1"/>
                <w:iCs w:val="1"/>
                <w:sz w:val="24"/>
                <w:szCs w:val="24"/>
                <w:rtl w:val="0"/>
              </w:rPr>
              <w:t xml:space="preserve">Pasivo Corriente</w:t>
            </w:r>
          </w:p>
        </w:tc>
        <w:tc>
          <w:tcPr>
            <w:vMerge w:val="continue"/>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3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aramond" w:cs="Garamond" w:eastAsia="Garamond" w:hAnsi="Garamond"/>
                <w:i w:val="1"/>
                <w:iCs w:val="1"/>
                <w:sz w:val="24"/>
                <w:szCs w:val="24"/>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aramond" w:cs="Garamond" w:eastAsia="Garamond" w:hAnsi="Garamond"/>
                <w:i w:val="1"/>
                <w:iCs w:val="1"/>
                <w:sz w:val="24"/>
                <w:szCs w:val="24"/>
              </w:rPr>
            </w:pPr>
            <w:r w:rsidDel="00000000" w:rsidR="00000000" w:rsidRPr="00000000">
              <w:rPr>
                <w:rtl w:val="0"/>
              </w:rPr>
            </w:r>
          </w:p>
        </w:tc>
      </w:tr>
      <w:tr>
        <w:trPr>
          <w:cantSplit w:val="0"/>
          <w:trHeight w:val="451"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aramond" w:cs="Garamond" w:eastAsia="Garamond" w:hAnsi="Garamond"/>
                <w:i w:val="1"/>
                <w:iCs w:val="1"/>
                <w:sz w:val="24"/>
                <w:szCs w:val="24"/>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0" w:val="nil"/>
            </w:tcBorders>
            <w:vAlign w:val="center"/>
          </w:tcPr>
          <w:p w:rsidR="00000000" w:rsidDel="00000000" w:rsidP="00000000" w:rsidRDefault="00000000" w:rsidRPr="00000000" w14:paraId="000003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aramond" w:cs="Garamond" w:eastAsia="Garamond" w:hAnsi="Garamond"/>
                <w:i w:val="1"/>
                <w:iCs w:val="1"/>
                <w:sz w:val="24"/>
                <w:szCs w:val="24"/>
              </w:rPr>
            </w:pPr>
            <w:r w:rsidDel="00000000" w:rsidR="00000000" w:rsidRPr="00000000">
              <w:rPr>
                <w:rtl w:val="0"/>
              </w:rPr>
            </w:r>
          </w:p>
        </w:tc>
        <w:tc>
          <w:tcPr>
            <w:vMerge w:val="continue"/>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3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aramond" w:cs="Garamond" w:eastAsia="Garamond" w:hAnsi="Garamond"/>
                <w:i w:val="1"/>
                <w:iCs w:val="1"/>
                <w:sz w:val="24"/>
                <w:szCs w:val="24"/>
              </w:rPr>
            </w:pPr>
            <w:r w:rsidDel="00000000" w:rsidR="00000000" w:rsidRPr="00000000">
              <w:rPr>
                <w:rtl w:val="0"/>
              </w:rPr>
            </w:r>
          </w:p>
        </w:tc>
        <w:tc>
          <w:tcPr>
            <w:vMerge w:val="continue"/>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3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aramond" w:cs="Garamond" w:eastAsia="Garamond" w:hAnsi="Garamond"/>
                <w:i w:val="1"/>
                <w:iCs w:val="1"/>
                <w:sz w:val="24"/>
                <w:szCs w:val="24"/>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aramond" w:cs="Garamond" w:eastAsia="Garamond" w:hAnsi="Garamond"/>
                <w:i w:val="1"/>
                <w:iCs w:val="1"/>
                <w:sz w:val="24"/>
                <w:szCs w:val="24"/>
              </w:rPr>
            </w:pPr>
            <w:r w:rsidDel="00000000" w:rsidR="00000000" w:rsidRPr="00000000">
              <w:rPr>
                <w:rtl w:val="0"/>
              </w:rPr>
            </w:r>
          </w:p>
        </w:tc>
      </w:tr>
      <w:tr>
        <w:trPr>
          <w:cantSplit w:val="0"/>
          <w:trHeight w:val="195" w:hRule="atLeast"/>
          <w:tblHeader w:val="0"/>
        </w:trPr>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3E1">
            <w:pPr>
              <w:rPr>
                <w:rFonts w:ascii="Garamond" w:cs="Garamond" w:eastAsia="Garamond" w:hAnsi="Garamond"/>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3E2">
            <w:pPr>
              <w:rPr>
                <w:rFonts w:ascii="Garamond" w:cs="Garamond" w:eastAsia="Garamond" w:hAnsi="Garamond"/>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3E3">
            <w:pPr>
              <w:rPr>
                <w:rFonts w:ascii="Garamond" w:cs="Garamond" w:eastAsia="Garamond" w:hAnsi="Garamond"/>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3E4">
            <w:pPr>
              <w:jc w:val="center"/>
              <w:rPr>
                <w:rFonts w:ascii="Garamond" w:cs="Garamond" w:eastAsia="Garamond" w:hAnsi="Garamond"/>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3E5">
            <w:pPr>
              <w:jc w:val="center"/>
              <w:rPr>
                <w:rFonts w:ascii="Garamond" w:cs="Garamond" w:eastAsia="Garamond" w:hAnsi="Garamond"/>
                <w:sz w:val="24"/>
                <w:szCs w:val="24"/>
              </w:rPr>
            </w:pPr>
            <w:r w:rsidDel="00000000" w:rsidR="00000000" w:rsidRPr="00000000">
              <w:rPr>
                <w:rtl w:val="0"/>
              </w:rPr>
            </w:r>
          </w:p>
        </w:tc>
      </w:tr>
      <w:tr>
        <w:trPr>
          <w:cantSplit w:val="0"/>
          <w:trHeight w:val="450" w:hRule="atLeast"/>
          <w:tblHeader w:val="0"/>
        </w:trPr>
        <w:tc>
          <w:tcPr>
            <w:vMerge w:val="restart"/>
            <w:tcBorders>
              <w:top w:color="000000" w:space="0" w:sz="4" w:val="single"/>
              <w:left w:color="000000" w:space="0" w:sz="4" w:val="single"/>
              <w:bottom w:color="000000" w:space="0" w:sz="4" w:val="single"/>
              <w:right w:color="000000" w:space="0" w:sz="0" w:val="nil"/>
            </w:tcBorders>
            <w:vAlign w:val="center"/>
          </w:tcPr>
          <w:p w:rsidR="00000000" w:rsidDel="00000000" w:rsidP="00000000" w:rsidRDefault="00000000" w:rsidRPr="00000000" w14:paraId="000003E6">
            <w:pPr>
              <w:jc w:val="center"/>
              <w:rPr>
                <w:rFonts w:ascii="Garamond" w:cs="Garamond" w:eastAsia="Garamond" w:hAnsi="Garamond"/>
                <w:b w:val="1"/>
                <w:bCs w:val="1"/>
                <w:i w:val="1"/>
                <w:iCs w:val="1"/>
                <w:sz w:val="24"/>
                <w:szCs w:val="24"/>
              </w:rPr>
            </w:pPr>
            <w:r w:rsidDel="00000000" w:rsidR="00000000" w:rsidRPr="00000000">
              <w:rPr>
                <w:rFonts w:ascii="Garamond" w:cs="Garamond" w:eastAsia="Garamond" w:hAnsi="Garamond"/>
                <w:b w:val="1"/>
                <w:bCs w:val="1"/>
                <w:i w:val="1"/>
                <w:iCs w:val="1"/>
                <w:sz w:val="24"/>
                <w:szCs w:val="24"/>
                <w:rtl w:val="0"/>
              </w:rPr>
              <w:t xml:space="preserve">Nivel de Endeudamiento</w:t>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E7">
            <w:pPr>
              <w:jc w:val="center"/>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w:t>
            </w:r>
          </w:p>
        </w:tc>
        <w:tc>
          <w:tcPr>
            <w:tcBorders>
              <w:top w:color="000000" w:space="0" w:sz="4" w:val="single"/>
              <w:left w:color="000000" w:space="0" w:sz="0" w:val="nil"/>
              <w:bottom w:color="000000" w:space="0" w:sz="4" w:val="single"/>
              <w:right w:color="000000" w:space="0" w:sz="0" w:val="nil"/>
            </w:tcBorders>
            <w:vAlign w:val="center"/>
          </w:tcPr>
          <w:p w:rsidR="00000000" w:rsidDel="00000000" w:rsidP="00000000" w:rsidRDefault="00000000" w:rsidRPr="00000000" w14:paraId="000003E8">
            <w:pPr>
              <w:jc w:val="center"/>
              <w:rPr>
                <w:rFonts w:ascii="Garamond" w:cs="Garamond" w:eastAsia="Garamond" w:hAnsi="Garamond"/>
                <w:i w:val="1"/>
                <w:iCs w:val="1"/>
                <w:sz w:val="24"/>
                <w:szCs w:val="24"/>
              </w:rPr>
            </w:pPr>
            <w:r w:rsidDel="00000000" w:rsidR="00000000" w:rsidRPr="00000000">
              <w:rPr>
                <w:rFonts w:ascii="Garamond" w:cs="Garamond" w:eastAsia="Garamond" w:hAnsi="Garamond"/>
                <w:i w:val="1"/>
                <w:iCs w:val="1"/>
                <w:sz w:val="24"/>
                <w:szCs w:val="24"/>
                <w:rtl w:val="0"/>
              </w:rPr>
              <w:t xml:space="preserve">Pasivo Total</w:t>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E9">
            <w:pPr>
              <w:jc w:val="center"/>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w:t>
            </w:r>
          </w:p>
        </w:tc>
        <w:tc>
          <w:tcPr>
            <w:vMerge w:val="restart"/>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3EA">
            <w:pPr>
              <w:jc w:val="center"/>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&lt; = 0,58</w:t>
            </w:r>
          </w:p>
        </w:tc>
      </w:tr>
      <w:tr>
        <w:trPr>
          <w:cantSplit w:val="0"/>
          <w:trHeight w:val="450" w:hRule="atLeast"/>
          <w:tblHeader w:val="0"/>
        </w:trPr>
        <w:tc>
          <w:tcPr>
            <w:vMerge w:val="continue"/>
            <w:tcBorders>
              <w:top w:color="000000" w:space="0" w:sz="4" w:val="single"/>
              <w:left w:color="000000" w:space="0" w:sz="4" w:val="single"/>
              <w:bottom w:color="000000" w:space="0" w:sz="4" w:val="single"/>
              <w:right w:color="000000" w:space="0" w:sz="0" w:val="nil"/>
            </w:tcBorders>
            <w:vAlign w:val="center"/>
          </w:tcPr>
          <w:p w:rsidR="00000000" w:rsidDel="00000000" w:rsidP="00000000" w:rsidRDefault="00000000" w:rsidRPr="00000000" w14:paraId="000003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aramond" w:cs="Garamond" w:eastAsia="Garamond" w:hAnsi="Garamond"/>
                <w:b w:val="1"/>
                <w:bCs w:val="1"/>
                <w:sz w:val="24"/>
                <w:szCs w:val="24"/>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aramond" w:cs="Garamond" w:eastAsia="Garamond" w:hAnsi="Garamond"/>
                <w:b w:val="1"/>
                <w:bCs w:val="1"/>
                <w:sz w:val="24"/>
                <w:szCs w:val="24"/>
              </w:rPr>
            </w:pPr>
            <w:r w:rsidDel="00000000" w:rsidR="00000000" w:rsidRPr="00000000">
              <w:rPr>
                <w:rtl w:val="0"/>
              </w:rPr>
            </w:r>
          </w:p>
        </w:tc>
        <w:tc>
          <w:tcPr>
            <w:tcBorders>
              <w:top w:color="000000" w:space="0" w:sz="0" w:val="nil"/>
              <w:left w:color="000000" w:space="0" w:sz="0" w:val="nil"/>
              <w:bottom w:color="000000" w:space="0" w:sz="4" w:val="single"/>
              <w:right w:color="000000" w:space="0" w:sz="0" w:val="nil"/>
            </w:tcBorders>
            <w:vAlign w:val="center"/>
          </w:tcPr>
          <w:p w:rsidR="00000000" w:rsidDel="00000000" w:rsidP="00000000" w:rsidRDefault="00000000" w:rsidRPr="00000000" w14:paraId="000003ED">
            <w:pPr>
              <w:jc w:val="center"/>
              <w:rPr>
                <w:rFonts w:ascii="Garamond" w:cs="Garamond" w:eastAsia="Garamond" w:hAnsi="Garamond"/>
                <w:i w:val="1"/>
                <w:iCs w:val="1"/>
                <w:sz w:val="24"/>
                <w:szCs w:val="24"/>
              </w:rPr>
            </w:pPr>
            <w:r w:rsidDel="00000000" w:rsidR="00000000" w:rsidRPr="00000000">
              <w:rPr>
                <w:rFonts w:ascii="Garamond" w:cs="Garamond" w:eastAsia="Garamond" w:hAnsi="Garamond"/>
                <w:i w:val="1"/>
                <w:iCs w:val="1"/>
                <w:sz w:val="24"/>
                <w:szCs w:val="24"/>
                <w:rtl w:val="0"/>
              </w:rPr>
              <w:t xml:space="preserve">Activo Total</w:t>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aramond" w:cs="Garamond" w:eastAsia="Garamond" w:hAnsi="Garamond"/>
                <w:i w:val="1"/>
                <w:iCs w:val="1"/>
                <w:sz w:val="24"/>
                <w:szCs w:val="24"/>
              </w:rPr>
            </w:pPr>
            <w:r w:rsidDel="00000000" w:rsidR="00000000" w:rsidRPr="00000000">
              <w:rPr>
                <w:rtl w:val="0"/>
              </w:rPr>
            </w:r>
          </w:p>
        </w:tc>
        <w:tc>
          <w:tcPr>
            <w:vMerge w:val="continue"/>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3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aramond" w:cs="Garamond" w:eastAsia="Garamond" w:hAnsi="Garamond"/>
                <w:i w:val="1"/>
                <w:iCs w:val="1"/>
                <w:sz w:val="24"/>
                <w:szCs w:val="24"/>
              </w:rPr>
            </w:pPr>
            <w:r w:rsidDel="00000000" w:rsidR="00000000" w:rsidRPr="00000000">
              <w:rPr>
                <w:rtl w:val="0"/>
              </w:rPr>
            </w:r>
          </w:p>
        </w:tc>
      </w:tr>
      <w:tr>
        <w:trPr>
          <w:cantSplit w:val="0"/>
          <w:trHeight w:val="195" w:hRule="atLeast"/>
          <w:tblHeader w:val="0"/>
        </w:trPr>
        <w:tc>
          <w:tcPr>
            <w:tcBorders>
              <w:top w:color="000000" w:space="0" w:sz="0" w:val="nil"/>
              <w:left w:color="000000" w:space="0" w:sz="0" w:val="nil"/>
              <w:bottom w:color="000000" w:space="0" w:sz="4" w:val="single"/>
              <w:right w:color="000000" w:space="0" w:sz="0" w:val="nil"/>
            </w:tcBorders>
            <w:vAlign w:val="bottom"/>
          </w:tcPr>
          <w:p w:rsidR="00000000" w:rsidDel="00000000" w:rsidP="00000000" w:rsidRDefault="00000000" w:rsidRPr="00000000" w14:paraId="000003F0">
            <w:pPr>
              <w:jc w:val="center"/>
              <w:rPr>
                <w:rFonts w:ascii="Garamond" w:cs="Garamond" w:eastAsia="Garamond" w:hAnsi="Garamond"/>
                <w:i w:val="1"/>
                <w:iCs w:val="1"/>
                <w:sz w:val="24"/>
                <w:szCs w:val="24"/>
              </w:rPr>
            </w:pPr>
            <w:r w:rsidDel="00000000" w:rsidR="00000000" w:rsidRPr="00000000">
              <w:rPr>
                <w:rtl w:val="0"/>
              </w:rPr>
            </w:r>
          </w:p>
        </w:tc>
        <w:tc>
          <w:tcPr>
            <w:tcBorders>
              <w:top w:color="000000" w:space="0" w:sz="0" w:val="nil"/>
              <w:left w:color="000000" w:space="0" w:sz="0" w:val="nil"/>
              <w:bottom w:color="000000" w:space="0" w:sz="4" w:val="single"/>
              <w:right w:color="000000" w:space="0" w:sz="0" w:val="nil"/>
            </w:tcBorders>
            <w:vAlign w:val="bottom"/>
          </w:tcPr>
          <w:p w:rsidR="00000000" w:rsidDel="00000000" w:rsidP="00000000" w:rsidRDefault="00000000" w:rsidRPr="00000000" w14:paraId="000003F1">
            <w:pPr>
              <w:rPr>
                <w:rFonts w:ascii="Garamond" w:cs="Garamond" w:eastAsia="Garamond" w:hAnsi="Garamond"/>
                <w:sz w:val="24"/>
                <w:szCs w:val="24"/>
              </w:rPr>
            </w:pPr>
            <w:r w:rsidDel="00000000" w:rsidR="00000000" w:rsidRPr="00000000">
              <w:rPr>
                <w:rtl w:val="0"/>
              </w:rPr>
            </w:r>
          </w:p>
        </w:tc>
        <w:tc>
          <w:tcPr>
            <w:tcBorders>
              <w:top w:color="000000" w:space="0" w:sz="0" w:val="nil"/>
              <w:left w:color="000000" w:space="0" w:sz="0" w:val="nil"/>
              <w:bottom w:color="000000" w:space="0" w:sz="4" w:val="single"/>
              <w:right w:color="000000" w:space="0" w:sz="0" w:val="nil"/>
            </w:tcBorders>
            <w:vAlign w:val="bottom"/>
          </w:tcPr>
          <w:p w:rsidR="00000000" w:rsidDel="00000000" w:rsidP="00000000" w:rsidRDefault="00000000" w:rsidRPr="00000000" w14:paraId="000003F2">
            <w:pPr>
              <w:rPr>
                <w:rFonts w:ascii="Garamond" w:cs="Garamond" w:eastAsia="Garamond" w:hAnsi="Garamond"/>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vAlign w:val="bottom"/>
          </w:tcPr>
          <w:p w:rsidR="00000000" w:rsidDel="00000000" w:rsidP="00000000" w:rsidRDefault="00000000" w:rsidRPr="00000000" w14:paraId="000003F3">
            <w:pPr>
              <w:rPr>
                <w:rFonts w:ascii="Garamond" w:cs="Garamond" w:eastAsia="Garamond" w:hAnsi="Garamond"/>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vAlign w:val="bottom"/>
          </w:tcPr>
          <w:p w:rsidR="00000000" w:rsidDel="00000000" w:rsidP="00000000" w:rsidRDefault="00000000" w:rsidRPr="00000000" w14:paraId="000003F4">
            <w:pPr>
              <w:rPr>
                <w:rFonts w:ascii="Garamond" w:cs="Garamond" w:eastAsia="Garamond" w:hAnsi="Garamond"/>
                <w:sz w:val="24"/>
                <w:szCs w:val="24"/>
              </w:rPr>
            </w:pPr>
            <w:r w:rsidDel="00000000" w:rsidR="00000000" w:rsidRPr="00000000">
              <w:rPr>
                <w:rtl w:val="0"/>
              </w:rPr>
            </w:r>
          </w:p>
        </w:tc>
      </w:tr>
      <w:tr>
        <w:trPr>
          <w:cantSplit w:val="0"/>
          <w:trHeight w:val="300" w:hRule="atLeast"/>
          <w:tblHeader w:val="0"/>
        </w:trPr>
        <w:tc>
          <w:tcPr>
            <w:vMerge w:val="restart"/>
            <w:tcBorders>
              <w:top w:color="000000" w:space="0" w:sz="4" w:val="single"/>
              <w:left w:color="000000" w:space="0" w:sz="4" w:val="single"/>
              <w:bottom w:color="000000" w:space="0" w:sz="4" w:val="single"/>
              <w:right w:color="000000" w:space="0" w:sz="0" w:val="nil"/>
            </w:tcBorders>
            <w:vAlign w:val="center"/>
          </w:tcPr>
          <w:p w:rsidR="00000000" w:rsidDel="00000000" w:rsidP="00000000" w:rsidRDefault="00000000" w:rsidRPr="00000000" w14:paraId="000003F5">
            <w:pPr>
              <w:jc w:val="center"/>
              <w:rPr>
                <w:rFonts w:ascii="Garamond" w:cs="Garamond" w:eastAsia="Garamond" w:hAnsi="Garamond"/>
                <w:b w:val="1"/>
                <w:bCs w:val="1"/>
                <w:i w:val="1"/>
                <w:iCs w:val="1"/>
                <w:sz w:val="24"/>
                <w:szCs w:val="24"/>
              </w:rPr>
            </w:pPr>
            <w:r w:rsidDel="00000000" w:rsidR="00000000" w:rsidRPr="00000000">
              <w:rPr>
                <w:rFonts w:ascii="Garamond" w:cs="Garamond" w:eastAsia="Garamond" w:hAnsi="Garamond"/>
                <w:b w:val="1"/>
                <w:bCs w:val="1"/>
                <w:i w:val="1"/>
                <w:iCs w:val="1"/>
                <w:sz w:val="24"/>
                <w:szCs w:val="24"/>
                <w:rtl w:val="0"/>
              </w:rPr>
              <w:t xml:space="preserve">Razón Cobertura</w:t>
              <w:br w:type="textWrapping"/>
              <w:t xml:space="preserve">de intereses</w:t>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F6">
            <w:pPr>
              <w:jc w:val="center"/>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w:t>
            </w:r>
          </w:p>
        </w:tc>
        <w:tc>
          <w:tcPr>
            <w:tcBorders>
              <w:top w:color="000000" w:space="0" w:sz="4" w:val="single"/>
              <w:left w:color="000000" w:space="0" w:sz="0" w:val="nil"/>
              <w:bottom w:color="000000" w:space="0" w:sz="4" w:val="single"/>
              <w:right w:color="000000" w:space="0" w:sz="0" w:val="nil"/>
            </w:tcBorders>
            <w:vAlign w:val="center"/>
          </w:tcPr>
          <w:p w:rsidR="00000000" w:rsidDel="00000000" w:rsidP="00000000" w:rsidRDefault="00000000" w:rsidRPr="00000000" w14:paraId="000003F7">
            <w:pPr>
              <w:jc w:val="center"/>
              <w:rPr>
                <w:rFonts w:ascii="Garamond" w:cs="Garamond" w:eastAsia="Garamond" w:hAnsi="Garamond"/>
                <w:i w:val="1"/>
                <w:iCs w:val="1"/>
                <w:sz w:val="24"/>
                <w:szCs w:val="24"/>
              </w:rPr>
            </w:pPr>
            <w:r w:rsidDel="00000000" w:rsidR="00000000" w:rsidRPr="00000000">
              <w:rPr>
                <w:rFonts w:ascii="Garamond" w:cs="Garamond" w:eastAsia="Garamond" w:hAnsi="Garamond"/>
                <w:i w:val="1"/>
                <w:iCs w:val="1"/>
                <w:sz w:val="24"/>
                <w:szCs w:val="24"/>
                <w:rtl w:val="0"/>
              </w:rPr>
              <w:t xml:space="preserve">Utilidad Operacional</w:t>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F8">
            <w:pPr>
              <w:jc w:val="center"/>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w:t>
            </w:r>
          </w:p>
        </w:tc>
        <w:tc>
          <w:tcPr>
            <w:vMerge w:val="restart"/>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3F9">
            <w:pPr>
              <w:jc w:val="center"/>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&gt; = 1,77</w:t>
            </w:r>
          </w:p>
        </w:tc>
      </w:tr>
      <w:tr>
        <w:trPr>
          <w:cantSplit w:val="0"/>
          <w:trHeight w:val="705" w:hRule="atLeast"/>
          <w:tblHeader w:val="0"/>
        </w:trPr>
        <w:tc>
          <w:tcPr>
            <w:vMerge w:val="continue"/>
            <w:tcBorders>
              <w:top w:color="000000" w:space="0" w:sz="4" w:val="single"/>
              <w:left w:color="000000" w:space="0" w:sz="4" w:val="single"/>
              <w:bottom w:color="000000" w:space="0" w:sz="4" w:val="single"/>
              <w:right w:color="000000" w:space="0" w:sz="0" w:val="nil"/>
            </w:tcBorders>
            <w:vAlign w:val="center"/>
          </w:tcPr>
          <w:p w:rsidR="00000000" w:rsidDel="00000000" w:rsidP="00000000" w:rsidRDefault="00000000" w:rsidRPr="00000000" w14:paraId="000003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aramond" w:cs="Garamond" w:eastAsia="Garamond" w:hAnsi="Garamond"/>
                <w:b w:val="1"/>
                <w:bCs w:val="1"/>
                <w:sz w:val="24"/>
                <w:szCs w:val="24"/>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aramond" w:cs="Garamond" w:eastAsia="Garamond" w:hAnsi="Garamond"/>
                <w:b w:val="1"/>
                <w:bCs w:val="1"/>
                <w:sz w:val="24"/>
                <w:szCs w:val="24"/>
              </w:rPr>
            </w:pPr>
            <w:r w:rsidDel="00000000" w:rsidR="00000000" w:rsidRPr="00000000">
              <w:rPr>
                <w:rtl w:val="0"/>
              </w:rPr>
            </w:r>
          </w:p>
        </w:tc>
        <w:tc>
          <w:tcPr>
            <w:tcBorders>
              <w:top w:color="000000" w:space="0" w:sz="0" w:val="nil"/>
              <w:left w:color="000000" w:space="0" w:sz="0" w:val="nil"/>
              <w:bottom w:color="000000" w:space="0" w:sz="4" w:val="single"/>
              <w:right w:color="000000" w:space="0" w:sz="0" w:val="nil"/>
            </w:tcBorders>
            <w:vAlign w:val="center"/>
          </w:tcPr>
          <w:p w:rsidR="00000000" w:rsidDel="00000000" w:rsidP="00000000" w:rsidRDefault="00000000" w:rsidRPr="00000000" w14:paraId="000003FC">
            <w:pPr>
              <w:jc w:val="center"/>
              <w:rPr>
                <w:rFonts w:ascii="Garamond" w:cs="Garamond" w:eastAsia="Garamond" w:hAnsi="Garamond"/>
                <w:i w:val="1"/>
                <w:iCs w:val="1"/>
                <w:sz w:val="24"/>
                <w:szCs w:val="24"/>
              </w:rPr>
            </w:pPr>
            <w:r w:rsidDel="00000000" w:rsidR="00000000" w:rsidRPr="00000000">
              <w:rPr>
                <w:rFonts w:ascii="Garamond" w:cs="Garamond" w:eastAsia="Garamond" w:hAnsi="Garamond"/>
                <w:i w:val="1"/>
                <w:iCs w:val="1"/>
                <w:sz w:val="24"/>
                <w:szCs w:val="24"/>
                <w:rtl w:val="0"/>
              </w:rPr>
              <w:t xml:space="preserve">Gasto de Intereses</w:t>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aramond" w:cs="Garamond" w:eastAsia="Garamond" w:hAnsi="Garamond"/>
                <w:i w:val="1"/>
                <w:iCs w:val="1"/>
                <w:sz w:val="24"/>
                <w:szCs w:val="24"/>
              </w:rPr>
            </w:pPr>
            <w:r w:rsidDel="00000000" w:rsidR="00000000" w:rsidRPr="00000000">
              <w:rPr>
                <w:rtl w:val="0"/>
              </w:rPr>
            </w:r>
          </w:p>
        </w:tc>
        <w:tc>
          <w:tcPr>
            <w:vMerge w:val="continue"/>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3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aramond" w:cs="Garamond" w:eastAsia="Garamond" w:hAnsi="Garamond"/>
                <w:i w:val="1"/>
                <w:iCs w:val="1"/>
                <w:sz w:val="24"/>
                <w:szCs w:val="24"/>
              </w:rPr>
            </w:pPr>
            <w:r w:rsidDel="00000000" w:rsidR="00000000" w:rsidRPr="00000000">
              <w:rPr>
                <w:rtl w:val="0"/>
              </w:rPr>
            </w:r>
          </w:p>
        </w:tc>
      </w:tr>
    </w:tbl>
    <w:p w:rsidR="00000000" w:rsidDel="00000000" w:rsidP="00000000" w:rsidRDefault="00000000" w:rsidRPr="00000000" w14:paraId="000003FF">
      <w:pPr>
        <w:rPr>
          <w:rFonts w:ascii="Garamond" w:cs="Garamond" w:eastAsia="Garamond" w:hAnsi="Garamond"/>
          <w:sz w:val="24"/>
          <w:szCs w:val="24"/>
        </w:rPr>
      </w:pPr>
      <w:r w:rsidDel="00000000" w:rsidR="00000000" w:rsidRPr="00000000">
        <w:rPr>
          <w:rtl w:val="0"/>
        </w:rPr>
      </w:r>
    </w:p>
    <w:tbl>
      <w:tblPr>
        <w:tblStyle w:val="Table10"/>
        <w:tblW w:w="9650.0" w:type="dxa"/>
        <w:jc w:val="center"/>
        <w:tblLayout w:type="fixed"/>
        <w:tblLook w:val="0400"/>
      </w:tblPr>
      <w:tblGrid>
        <w:gridCol w:w="3270"/>
        <w:gridCol w:w="388"/>
        <w:gridCol w:w="3161"/>
        <w:gridCol w:w="388"/>
        <w:gridCol w:w="2443"/>
        <w:tblGridChange w:id="0">
          <w:tblGrid>
            <w:gridCol w:w="3270"/>
            <w:gridCol w:w="388"/>
            <w:gridCol w:w="3161"/>
            <w:gridCol w:w="388"/>
            <w:gridCol w:w="2443"/>
          </w:tblGrid>
        </w:tblGridChange>
      </w:tblGrid>
      <w:tr>
        <w:trPr>
          <w:cantSplit w:val="0"/>
          <w:trHeight w:val="300" w:hRule="atLeast"/>
          <w:tblHeader w:val="0"/>
        </w:trPr>
        <w:tc>
          <w:tcPr>
            <w:tcBorders>
              <w:top w:color="000000" w:space="0" w:sz="4" w:val="single"/>
              <w:left w:color="000000" w:space="0" w:sz="4" w:val="single"/>
              <w:bottom w:color="000000" w:space="0" w:sz="4" w:val="single"/>
              <w:right w:color="000000" w:space="0" w:sz="0" w:val="nil"/>
            </w:tcBorders>
            <w:vAlign w:val="center"/>
          </w:tcPr>
          <w:p w:rsidR="00000000" w:rsidDel="00000000" w:rsidP="00000000" w:rsidRDefault="00000000" w:rsidRPr="00000000" w14:paraId="00000400">
            <w:pPr>
              <w:rPr>
                <w:rFonts w:ascii="Garamond" w:cs="Garamond" w:eastAsia="Garamond" w:hAnsi="Garamond"/>
                <w:b w:val="1"/>
                <w:bCs w:val="1"/>
                <w:i w:val="1"/>
                <w:iCs w:val="1"/>
                <w:sz w:val="24"/>
                <w:szCs w:val="24"/>
              </w:rPr>
            </w:pPr>
            <w:r w:rsidDel="00000000" w:rsidR="00000000" w:rsidRPr="00000000">
              <w:rPr>
                <w:rFonts w:ascii="Garamond" w:cs="Garamond" w:eastAsia="Garamond" w:hAnsi="Garamond"/>
                <w:b w:val="1"/>
                <w:bCs w:val="1"/>
                <w:i w:val="1"/>
                <w:iCs w:val="1"/>
                <w:sz w:val="24"/>
                <w:szCs w:val="24"/>
                <w:rtl w:val="0"/>
              </w:rPr>
              <w:t xml:space="preserve">Capital de Trabajo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01">
            <w:pPr>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w:t>
            </w:r>
          </w:p>
        </w:tc>
        <w:tc>
          <w:tcPr>
            <w:tcBorders>
              <w:top w:color="000000" w:space="0" w:sz="4" w:val="single"/>
              <w:left w:color="000000" w:space="0" w:sz="0" w:val="nil"/>
              <w:bottom w:color="000000" w:space="0" w:sz="4" w:val="single"/>
              <w:right w:color="000000" w:space="0" w:sz="0" w:val="nil"/>
            </w:tcBorders>
            <w:vAlign w:val="center"/>
          </w:tcPr>
          <w:p w:rsidR="00000000" w:rsidDel="00000000" w:rsidP="00000000" w:rsidRDefault="00000000" w:rsidRPr="00000000" w14:paraId="00000402">
            <w:pPr>
              <w:rPr>
                <w:rFonts w:ascii="Garamond" w:cs="Garamond" w:eastAsia="Garamond" w:hAnsi="Garamond"/>
                <w:i w:val="1"/>
                <w:iCs w:val="1"/>
                <w:sz w:val="24"/>
                <w:szCs w:val="24"/>
              </w:rPr>
            </w:pPr>
            <w:r w:rsidDel="00000000" w:rsidR="00000000" w:rsidRPr="00000000">
              <w:rPr>
                <w:rFonts w:ascii="Garamond" w:cs="Garamond" w:eastAsia="Garamond" w:hAnsi="Garamond"/>
                <w:i w:val="1"/>
                <w:iCs w:val="1"/>
                <w:sz w:val="24"/>
                <w:szCs w:val="24"/>
                <w:rtl w:val="0"/>
              </w:rPr>
              <w:t xml:space="preserve">Pasivos corrientes – Activos Corrientes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03">
            <w:pPr>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404">
            <w:pPr>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&gt; = 40% P.O</w:t>
            </w:r>
          </w:p>
        </w:tc>
      </w:tr>
    </w:tbl>
    <w:p w:rsidR="00000000" w:rsidDel="00000000" w:rsidP="00000000" w:rsidRDefault="00000000" w:rsidRPr="00000000" w14:paraId="00000405">
      <w:pPr>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406">
      <w:pPr>
        <w:spacing w:before="223" w:lineRule="auto"/>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Índices de capacidad organizacional:</w:t>
      </w:r>
    </w:p>
    <w:p w:rsidR="00000000" w:rsidDel="00000000" w:rsidP="00000000" w:rsidRDefault="00000000" w:rsidRPr="00000000" w14:paraId="000004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0" w:right="0" w:firstLine="0"/>
        <w:jc w:val="left"/>
        <w:rPr>
          <w:rFonts w:ascii="Garamond" w:cs="Garamond" w:eastAsia="Garamond" w:hAnsi="Garamond"/>
          <w:b w:val="1"/>
          <w:bCs w:val="1"/>
          <w:i w:val="0"/>
          <w:iCs w:val="0"/>
          <w:smallCaps w:val="0"/>
          <w:strike w:val="0"/>
          <w:color w:val="000000"/>
          <w:sz w:val="24"/>
          <w:szCs w:val="24"/>
          <w:u w:val="none"/>
          <w:shd w:fill="auto" w:val="clear"/>
          <w:vertAlign w:val="baseline"/>
        </w:rPr>
      </w:pPr>
      <w:r w:rsidDel="00000000" w:rsidR="00000000" w:rsidRPr="00000000">
        <w:rPr>
          <w:rtl w:val="0"/>
        </w:rPr>
      </w:r>
    </w:p>
    <w:tbl>
      <w:tblPr>
        <w:tblStyle w:val="Table11"/>
        <w:tblW w:w="9650.0" w:type="dxa"/>
        <w:jc w:val="center"/>
        <w:tblLayout w:type="fixed"/>
        <w:tblLook w:val="0400"/>
      </w:tblPr>
      <w:tblGrid>
        <w:gridCol w:w="3250"/>
        <w:gridCol w:w="388"/>
        <w:gridCol w:w="3194"/>
        <w:gridCol w:w="388"/>
        <w:gridCol w:w="2430"/>
        <w:tblGridChange w:id="0">
          <w:tblGrid>
            <w:gridCol w:w="3250"/>
            <w:gridCol w:w="388"/>
            <w:gridCol w:w="3194"/>
            <w:gridCol w:w="388"/>
            <w:gridCol w:w="2430"/>
          </w:tblGrid>
        </w:tblGridChange>
      </w:tblGrid>
      <w:tr>
        <w:trPr>
          <w:cantSplit w:val="0"/>
          <w:trHeight w:val="288" w:hRule="atLeast"/>
          <w:tblHeader w:val="0"/>
        </w:trPr>
        <w:tc>
          <w:tcPr>
            <w:tcBorders>
              <w:top w:color="000000" w:space="0" w:sz="4" w:val="single"/>
              <w:left w:color="000000" w:space="0" w:sz="4" w:val="single"/>
              <w:bottom w:color="000000" w:space="0" w:sz="4" w:val="single"/>
              <w:right w:color="000000" w:space="0" w:sz="0" w:val="nil"/>
            </w:tcBorders>
            <w:vAlign w:val="center"/>
          </w:tcPr>
          <w:p w:rsidR="00000000" w:rsidDel="00000000" w:rsidP="00000000" w:rsidRDefault="00000000" w:rsidRPr="00000000" w14:paraId="00000408">
            <w:pPr>
              <w:jc w:val="center"/>
              <w:rPr>
                <w:rFonts w:ascii="Garamond" w:cs="Garamond" w:eastAsia="Garamond" w:hAnsi="Garamond"/>
                <w:b w:val="1"/>
                <w:bCs w:val="1"/>
                <w:i w:val="1"/>
                <w:iCs w:val="1"/>
                <w:sz w:val="24"/>
                <w:szCs w:val="24"/>
              </w:rPr>
            </w:pPr>
            <w:r w:rsidDel="00000000" w:rsidR="00000000" w:rsidRPr="00000000">
              <w:rPr>
                <w:rFonts w:ascii="Garamond" w:cs="Garamond" w:eastAsia="Garamond" w:hAnsi="Garamond"/>
                <w:b w:val="1"/>
                <w:bCs w:val="1"/>
                <w:i w:val="1"/>
                <w:iCs w:val="1"/>
                <w:sz w:val="24"/>
                <w:szCs w:val="24"/>
                <w:rtl w:val="0"/>
              </w:rPr>
              <w:t xml:space="preserve">INDICADOR</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09">
            <w:pPr>
              <w:jc w:val="center"/>
              <w:rPr>
                <w:rFonts w:ascii="Garamond" w:cs="Garamond" w:eastAsia="Garamond" w:hAnsi="Garamond"/>
                <w:b w:val="1"/>
                <w:bCs w:val="1"/>
                <w:sz w:val="24"/>
                <w:szCs w:val="24"/>
              </w:rPr>
            </w:pPr>
            <w:r w:rsidDel="00000000" w:rsidR="00000000" w:rsidRPr="00000000">
              <w:rPr>
                <w:rtl w:val="0"/>
              </w:rPr>
            </w:r>
          </w:p>
        </w:tc>
        <w:tc>
          <w:tcPr>
            <w:tcBorders>
              <w:top w:color="000000" w:space="0" w:sz="4" w:val="single"/>
              <w:left w:color="000000" w:space="0" w:sz="0" w:val="nil"/>
              <w:bottom w:color="000000" w:space="0" w:sz="4" w:val="single"/>
              <w:right w:color="000000" w:space="0" w:sz="0" w:val="nil"/>
            </w:tcBorders>
            <w:vAlign w:val="center"/>
          </w:tcPr>
          <w:p w:rsidR="00000000" w:rsidDel="00000000" w:rsidP="00000000" w:rsidRDefault="00000000" w:rsidRPr="00000000" w14:paraId="0000040A">
            <w:pPr>
              <w:jc w:val="center"/>
              <w:rPr>
                <w:rFonts w:ascii="Garamond" w:cs="Garamond" w:eastAsia="Garamond" w:hAnsi="Garamond"/>
                <w:i w:val="1"/>
                <w:iCs w:val="1"/>
                <w:sz w:val="24"/>
                <w:szCs w:val="24"/>
              </w:rPr>
            </w:pPr>
            <w:r w:rsidDel="00000000" w:rsidR="00000000" w:rsidRPr="00000000">
              <w:rPr>
                <w:rFonts w:ascii="Garamond" w:cs="Garamond" w:eastAsia="Garamond" w:hAnsi="Garamond"/>
                <w:b w:val="1"/>
                <w:bCs w:val="1"/>
                <w:i w:val="1"/>
                <w:iCs w:val="1"/>
                <w:sz w:val="24"/>
                <w:szCs w:val="24"/>
                <w:rtl w:val="0"/>
              </w:rPr>
              <w:t xml:space="preserve">FORMULA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0B">
            <w:pPr>
              <w:jc w:val="center"/>
              <w:rPr>
                <w:rFonts w:ascii="Garamond" w:cs="Garamond" w:eastAsia="Garamond" w:hAnsi="Garamond"/>
                <w:b w:val="1"/>
                <w:bCs w:val="1"/>
                <w:sz w:val="24"/>
                <w:szCs w:val="24"/>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40C">
            <w:pPr>
              <w:jc w:val="center"/>
              <w:rPr>
                <w:rFonts w:ascii="Garamond" w:cs="Garamond" w:eastAsia="Garamond" w:hAnsi="Garamond"/>
                <w:b w:val="1"/>
                <w:bCs w:val="1"/>
                <w:sz w:val="24"/>
                <w:szCs w:val="24"/>
              </w:rPr>
            </w:pPr>
            <w:r w:rsidDel="00000000" w:rsidR="00000000" w:rsidRPr="00000000">
              <w:rPr>
                <w:rFonts w:ascii="Garamond" w:cs="Garamond" w:eastAsia="Garamond" w:hAnsi="Garamond"/>
                <w:b w:val="1"/>
                <w:bCs w:val="1"/>
                <w:i w:val="1"/>
                <w:iCs w:val="1"/>
                <w:sz w:val="24"/>
                <w:szCs w:val="24"/>
                <w:rtl w:val="0"/>
              </w:rPr>
              <w:t xml:space="preserve">PARAMETRO</w:t>
            </w:r>
            <w:r w:rsidDel="00000000" w:rsidR="00000000" w:rsidRPr="00000000">
              <w:rPr>
                <w:rtl w:val="0"/>
              </w:rPr>
            </w:r>
          </w:p>
        </w:tc>
      </w:tr>
      <w:tr>
        <w:trPr>
          <w:cantSplit w:val="0"/>
          <w:trHeight w:val="288" w:hRule="atLeast"/>
          <w:tblHeader w:val="0"/>
        </w:trPr>
        <w:tc>
          <w:tcPr>
            <w:vMerge w:val="restart"/>
            <w:tcBorders>
              <w:top w:color="000000" w:space="0" w:sz="4" w:val="single"/>
              <w:left w:color="000000" w:space="0" w:sz="4" w:val="single"/>
              <w:bottom w:color="000000" w:space="0" w:sz="4" w:val="single"/>
              <w:right w:color="000000" w:space="0" w:sz="0" w:val="nil"/>
            </w:tcBorders>
            <w:vAlign w:val="center"/>
          </w:tcPr>
          <w:p w:rsidR="00000000" w:rsidDel="00000000" w:rsidP="00000000" w:rsidRDefault="00000000" w:rsidRPr="00000000" w14:paraId="0000040D">
            <w:pPr>
              <w:jc w:val="center"/>
              <w:rPr>
                <w:rFonts w:ascii="Garamond" w:cs="Garamond" w:eastAsia="Garamond" w:hAnsi="Garamond"/>
                <w:b w:val="1"/>
                <w:bCs w:val="1"/>
                <w:i w:val="1"/>
                <w:iCs w:val="1"/>
                <w:sz w:val="24"/>
                <w:szCs w:val="24"/>
              </w:rPr>
            </w:pPr>
            <w:r w:rsidDel="00000000" w:rsidR="00000000" w:rsidRPr="00000000">
              <w:rPr>
                <w:rFonts w:ascii="Garamond" w:cs="Garamond" w:eastAsia="Garamond" w:hAnsi="Garamond"/>
                <w:b w:val="1"/>
                <w:bCs w:val="1"/>
                <w:i w:val="1"/>
                <w:iCs w:val="1"/>
                <w:sz w:val="24"/>
                <w:szCs w:val="24"/>
                <w:rtl w:val="0"/>
              </w:rPr>
              <w:t xml:space="preserve">Rentabilidad sobre</w:t>
              <w:br w:type="textWrapping"/>
              <w:t xml:space="preserve">Patrimonio</w:t>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0E">
            <w:pPr>
              <w:jc w:val="center"/>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w:t>
            </w:r>
          </w:p>
        </w:tc>
        <w:tc>
          <w:tcPr>
            <w:tcBorders>
              <w:top w:color="000000" w:space="0" w:sz="4" w:val="single"/>
              <w:left w:color="000000" w:space="0" w:sz="0" w:val="nil"/>
              <w:bottom w:color="000000" w:space="0" w:sz="4" w:val="single"/>
              <w:right w:color="000000" w:space="0" w:sz="0" w:val="nil"/>
            </w:tcBorders>
            <w:vAlign w:val="center"/>
          </w:tcPr>
          <w:p w:rsidR="00000000" w:rsidDel="00000000" w:rsidP="00000000" w:rsidRDefault="00000000" w:rsidRPr="00000000" w14:paraId="0000040F">
            <w:pPr>
              <w:jc w:val="center"/>
              <w:rPr>
                <w:rFonts w:ascii="Garamond" w:cs="Garamond" w:eastAsia="Garamond" w:hAnsi="Garamond"/>
                <w:i w:val="1"/>
                <w:iCs w:val="1"/>
                <w:sz w:val="24"/>
                <w:szCs w:val="24"/>
              </w:rPr>
            </w:pPr>
            <w:r w:rsidDel="00000000" w:rsidR="00000000" w:rsidRPr="00000000">
              <w:rPr>
                <w:rFonts w:ascii="Garamond" w:cs="Garamond" w:eastAsia="Garamond" w:hAnsi="Garamond"/>
                <w:i w:val="1"/>
                <w:iCs w:val="1"/>
                <w:sz w:val="24"/>
                <w:szCs w:val="24"/>
                <w:rtl w:val="0"/>
              </w:rPr>
              <w:t xml:space="preserve">Utilidad Operacional</w:t>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10">
            <w:pPr>
              <w:jc w:val="center"/>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w:t>
            </w:r>
          </w:p>
        </w:tc>
        <w:tc>
          <w:tcPr>
            <w:vMerge w:val="restart"/>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411">
            <w:pPr>
              <w:jc w:val="center"/>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&gt; = 0,06</w:t>
            </w:r>
          </w:p>
        </w:tc>
      </w:tr>
      <w:tr>
        <w:trPr>
          <w:cantSplit w:val="0"/>
          <w:trHeight w:val="735" w:hRule="atLeast"/>
          <w:tblHeader w:val="0"/>
        </w:trPr>
        <w:tc>
          <w:tcPr>
            <w:vMerge w:val="continue"/>
            <w:tcBorders>
              <w:top w:color="000000" w:space="0" w:sz="4" w:val="single"/>
              <w:left w:color="000000" w:space="0" w:sz="4" w:val="single"/>
              <w:bottom w:color="000000" w:space="0" w:sz="4" w:val="single"/>
              <w:right w:color="000000" w:space="0" w:sz="0" w:val="nil"/>
            </w:tcBorders>
            <w:vAlign w:val="center"/>
          </w:tcPr>
          <w:p w:rsidR="00000000" w:rsidDel="00000000" w:rsidP="00000000" w:rsidRDefault="00000000" w:rsidRPr="00000000" w14:paraId="000004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aramond" w:cs="Garamond" w:eastAsia="Garamond" w:hAnsi="Garamond"/>
                <w:b w:val="1"/>
                <w:bCs w:val="1"/>
                <w:sz w:val="24"/>
                <w:szCs w:val="24"/>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aramond" w:cs="Garamond" w:eastAsia="Garamond" w:hAnsi="Garamond"/>
                <w:b w:val="1"/>
                <w:bCs w:val="1"/>
                <w:sz w:val="24"/>
                <w:szCs w:val="24"/>
              </w:rPr>
            </w:pPr>
            <w:r w:rsidDel="00000000" w:rsidR="00000000" w:rsidRPr="00000000">
              <w:rPr>
                <w:rtl w:val="0"/>
              </w:rPr>
            </w:r>
          </w:p>
        </w:tc>
        <w:tc>
          <w:tcPr>
            <w:tcBorders>
              <w:top w:color="000000" w:space="0" w:sz="0" w:val="nil"/>
              <w:left w:color="000000" w:space="0" w:sz="0" w:val="nil"/>
              <w:bottom w:color="000000" w:space="0" w:sz="4" w:val="single"/>
              <w:right w:color="000000" w:space="0" w:sz="0" w:val="nil"/>
            </w:tcBorders>
            <w:vAlign w:val="center"/>
          </w:tcPr>
          <w:p w:rsidR="00000000" w:rsidDel="00000000" w:rsidP="00000000" w:rsidRDefault="00000000" w:rsidRPr="00000000" w14:paraId="00000414">
            <w:pPr>
              <w:jc w:val="center"/>
              <w:rPr>
                <w:rFonts w:ascii="Garamond" w:cs="Garamond" w:eastAsia="Garamond" w:hAnsi="Garamond"/>
                <w:i w:val="1"/>
                <w:iCs w:val="1"/>
                <w:sz w:val="24"/>
                <w:szCs w:val="24"/>
              </w:rPr>
            </w:pPr>
            <w:r w:rsidDel="00000000" w:rsidR="00000000" w:rsidRPr="00000000">
              <w:rPr>
                <w:rFonts w:ascii="Garamond" w:cs="Garamond" w:eastAsia="Garamond" w:hAnsi="Garamond"/>
                <w:i w:val="1"/>
                <w:iCs w:val="1"/>
                <w:sz w:val="24"/>
                <w:szCs w:val="24"/>
                <w:rtl w:val="0"/>
              </w:rPr>
              <w:t xml:space="preserve">Patrimonio</w:t>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aramond" w:cs="Garamond" w:eastAsia="Garamond" w:hAnsi="Garamond"/>
                <w:i w:val="1"/>
                <w:iCs w:val="1"/>
                <w:sz w:val="24"/>
                <w:szCs w:val="24"/>
              </w:rPr>
            </w:pPr>
            <w:r w:rsidDel="00000000" w:rsidR="00000000" w:rsidRPr="00000000">
              <w:rPr>
                <w:rtl w:val="0"/>
              </w:rPr>
            </w:r>
          </w:p>
        </w:tc>
        <w:tc>
          <w:tcPr>
            <w:vMerge w:val="continue"/>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4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aramond" w:cs="Garamond" w:eastAsia="Garamond" w:hAnsi="Garamond"/>
                <w:i w:val="1"/>
                <w:iCs w:val="1"/>
                <w:sz w:val="24"/>
                <w:szCs w:val="24"/>
              </w:rPr>
            </w:pPr>
            <w:r w:rsidDel="00000000" w:rsidR="00000000" w:rsidRPr="00000000">
              <w:rPr>
                <w:rtl w:val="0"/>
              </w:rPr>
            </w:r>
          </w:p>
        </w:tc>
      </w:tr>
      <w:tr>
        <w:trPr>
          <w:cantSplit w:val="0"/>
          <w:trHeight w:val="180" w:hRule="atLeast"/>
          <w:tblHeader w:val="0"/>
        </w:trPr>
        <w:tc>
          <w:tcPr>
            <w:tcBorders>
              <w:top w:color="000000" w:space="0" w:sz="0" w:val="nil"/>
              <w:left w:color="000000" w:space="0" w:sz="0" w:val="nil"/>
              <w:bottom w:color="000000" w:space="0" w:sz="0" w:val="nil"/>
              <w:right w:color="000000" w:space="0" w:sz="0" w:val="nil"/>
            </w:tcBorders>
            <w:vAlign w:val="bottom"/>
          </w:tcPr>
          <w:p w:rsidR="00000000" w:rsidDel="00000000" w:rsidP="00000000" w:rsidRDefault="00000000" w:rsidRPr="00000000" w14:paraId="00000417">
            <w:pPr>
              <w:jc w:val="center"/>
              <w:rPr>
                <w:rFonts w:ascii="Garamond" w:cs="Garamond" w:eastAsia="Garamond" w:hAnsi="Garamond"/>
                <w:i w:val="1"/>
                <w:iCs w:val="1"/>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vAlign w:val="bottom"/>
          </w:tcPr>
          <w:p w:rsidR="00000000" w:rsidDel="00000000" w:rsidP="00000000" w:rsidRDefault="00000000" w:rsidRPr="00000000" w14:paraId="00000418">
            <w:pPr>
              <w:rPr>
                <w:rFonts w:ascii="Garamond" w:cs="Garamond" w:eastAsia="Garamond" w:hAnsi="Garamond"/>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vAlign w:val="bottom"/>
          </w:tcPr>
          <w:p w:rsidR="00000000" w:rsidDel="00000000" w:rsidP="00000000" w:rsidRDefault="00000000" w:rsidRPr="00000000" w14:paraId="00000419">
            <w:pPr>
              <w:rPr>
                <w:rFonts w:ascii="Garamond" w:cs="Garamond" w:eastAsia="Garamond" w:hAnsi="Garamond"/>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vAlign w:val="bottom"/>
          </w:tcPr>
          <w:p w:rsidR="00000000" w:rsidDel="00000000" w:rsidP="00000000" w:rsidRDefault="00000000" w:rsidRPr="00000000" w14:paraId="0000041A">
            <w:pPr>
              <w:rPr>
                <w:rFonts w:ascii="Garamond" w:cs="Garamond" w:eastAsia="Garamond" w:hAnsi="Garamond"/>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vAlign w:val="bottom"/>
          </w:tcPr>
          <w:p w:rsidR="00000000" w:rsidDel="00000000" w:rsidP="00000000" w:rsidRDefault="00000000" w:rsidRPr="00000000" w14:paraId="0000041B">
            <w:pPr>
              <w:rPr>
                <w:rFonts w:ascii="Garamond" w:cs="Garamond" w:eastAsia="Garamond" w:hAnsi="Garamond"/>
                <w:sz w:val="24"/>
                <w:szCs w:val="24"/>
              </w:rPr>
            </w:pPr>
            <w:r w:rsidDel="00000000" w:rsidR="00000000" w:rsidRPr="00000000">
              <w:rPr>
                <w:rtl w:val="0"/>
              </w:rPr>
            </w:r>
          </w:p>
        </w:tc>
      </w:tr>
      <w:tr>
        <w:trPr>
          <w:cantSplit w:val="0"/>
          <w:trHeight w:val="600" w:hRule="atLeast"/>
          <w:tblHeader w:val="0"/>
        </w:trPr>
        <w:tc>
          <w:tcPr>
            <w:vMerge w:val="restart"/>
            <w:tcBorders>
              <w:top w:color="000000" w:space="0" w:sz="4" w:val="single"/>
              <w:left w:color="000000" w:space="0" w:sz="4" w:val="single"/>
              <w:bottom w:color="000000" w:space="0" w:sz="4" w:val="single"/>
              <w:right w:color="000000" w:space="0" w:sz="0" w:val="nil"/>
            </w:tcBorders>
            <w:vAlign w:val="center"/>
          </w:tcPr>
          <w:p w:rsidR="00000000" w:rsidDel="00000000" w:rsidP="00000000" w:rsidRDefault="00000000" w:rsidRPr="00000000" w14:paraId="0000041C">
            <w:pPr>
              <w:jc w:val="center"/>
              <w:rPr>
                <w:rFonts w:ascii="Garamond" w:cs="Garamond" w:eastAsia="Garamond" w:hAnsi="Garamond"/>
                <w:b w:val="1"/>
                <w:bCs w:val="1"/>
                <w:i w:val="1"/>
                <w:iCs w:val="1"/>
                <w:sz w:val="24"/>
                <w:szCs w:val="24"/>
              </w:rPr>
            </w:pPr>
            <w:r w:rsidDel="00000000" w:rsidR="00000000" w:rsidRPr="00000000">
              <w:rPr>
                <w:rFonts w:ascii="Garamond" w:cs="Garamond" w:eastAsia="Garamond" w:hAnsi="Garamond"/>
                <w:b w:val="1"/>
                <w:bCs w:val="1"/>
                <w:i w:val="1"/>
                <w:iCs w:val="1"/>
                <w:sz w:val="24"/>
                <w:szCs w:val="24"/>
                <w:rtl w:val="0"/>
              </w:rPr>
              <w:t xml:space="preserve">Rentabilidad sobre</w:t>
              <w:br w:type="textWrapping"/>
              <w:t xml:space="preserve">Activos</w:t>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1D">
            <w:pPr>
              <w:jc w:val="center"/>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w:t>
            </w:r>
          </w:p>
        </w:tc>
        <w:tc>
          <w:tcPr>
            <w:tcBorders>
              <w:top w:color="000000" w:space="0" w:sz="4" w:val="single"/>
              <w:left w:color="000000" w:space="0" w:sz="0" w:val="nil"/>
              <w:bottom w:color="000000" w:space="0" w:sz="4" w:val="single"/>
              <w:right w:color="000000" w:space="0" w:sz="0" w:val="nil"/>
            </w:tcBorders>
            <w:vAlign w:val="center"/>
          </w:tcPr>
          <w:p w:rsidR="00000000" w:rsidDel="00000000" w:rsidP="00000000" w:rsidRDefault="00000000" w:rsidRPr="00000000" w14:paraId="0000041E">
            <w:pPr>
              <w:jc w:val="center"/>
              <w:rPr>
                <w:rFonts w:ascii="Garamond" w:cs="Garamond" w:eastAsia="Garamond" w:hAnsi="Garamond"/>
                <w:i w:val="1"/>
                <w:iCs w:val="1"/>
                <w:sz w:val="24"/>
                <w:szCs w:val="24"/>
              </w:rPr>
            </w:pPr>
            <w:r w:rsidDel="00000000" w:rsidR="00000000" w:rsidRPr="00000000">
              <w:rPr>
                <w:rFonts w:ascii="Garamond" w:cs="Garamond" w:eastAsia="Garamond" w:hAnsi="Garamond"/>
                <w:i w:val="1"/>
                <w:iCs w:val="1"/>
                <w:sz w:val="24"/>
                <w:szCs w:val="24"/>
                <w:rtl w:val="0"/>
              </w:rPr>
              <w:t xml:space="preserve">Utilidad Operacional</w:t>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1F">
            <w:pPr>
              <w:jc w:val="center"/>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w:t>
            </w:r>
          </w:p>
        </w:tc>
        <w:tc>
          <w:tcPr>
            <w:vMerge w:val="restart"/>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420">
            <w:pPr>
              <w:jc w:val="center"/>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&gt; = 0,04</w:t>
            </w:r>
          </w:p>
        </w:tc>
      </w:tr>
      <w:tr>
        <w:trPr>
          <w:cantSplit w:val="0"/>
          <w:trHeight w:val="495" w:hRule="atLeast"/>
          <w:tblHeader w:val="0"/>
        </w:trPr>
        <w:tc>
          <w:tcPr>
            <w:vMerge w:val="continue"/>
            <w:tcBorders>
              <w:top w:color="000000" w:space="0" w:sz="4" w:val="single"/>
              <w:left w:color="000000" w:space="0" w:sz="4" w:val="single"/>
              <w:bottom w:color="000000" w:space="0" w:sz="4" w:val="single"/>
              <w:right w:color="000000" w:space="0" w:sz="0" w:val="nil"/>
            </w:tcBorders>
            <w:vAlign w:val="center"/>
          </w:tcPr>
          <w:p w:rsidR="00000000" w:rsidDel="00000000" w:rsidP="00000000" w:rsidRDefault="00000000" w:rsidRPr="00000000" w14:paraId="000004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aramond" w:cs="Garamond" w:eastAsia="Garamond" w:hAnsi="Garamond"/>
                <w:b w:val="1"/>
                <w:bCs w:val="1"/>
                <w:sz w:val="24"/>
                <w:szCs w:val="24"/>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aramond" w:cs="Garamond" w:eastAsia="Garamond" w:hAnsi="Garamond"/>
                <w:b w:val="1"/>
                <w:bCs w:val="1"/>
                <w:sz w:val="24"/>
                <w:szCs w:val="24"/>
              </w:rPr>
            </w:pPr>
            <w:r w:rsidDel="00000000" w:rsidR="00000000" w:rsidRPr="00000000">
              <w:rPr>
                <w:rtl w:val="0"/>
              </w:rPr>
            </w:r>
          </w:p>
        </w:tc>
        <w:tc>
          <w:tcPr>
            <w:tcBorders>
              <w:top w:color="000000" w:space="0" w:sz="0" w:val="nil"/>
              <w:left w:color="000000" w:space="0" w:sz="0" w:val="nil"/>
              <w:bottom w:color="000000" w:space="0" w:sz="4" w:val="single"/>
              <w:right w:color="000000" w:space="0" w:sz="0" w:val="nil"/>
            </w:tcBorders>
            <w:vAlign w:val="center"/>
          </w:tcPr>
          <w:p w:rsidR="00000000" w:rsidDel="00000000" w:rsidP="00000000" w:rsidRDefault="00000000" w:rsidRPr="00000000" w14:paraId="00000423">
            <w:pPr>
              <w:jc w:val="center"/>
              <w:rPr>
                <w:rFonts w:ascii="Garamond" w:cs="Garamond" w:eastAsia="Garamond" w:hAnsi="Garamond"/>
                <w:i w:val="1"/>
                <w:iCs w:val="1"/>
                <w:sz w:val="24"/>
                <w:szCs w:val="24"/>
              </w:rPr>
            </w:pPr>
            <w:r w:rsidDel="00000000" w:rsidR="00000000" w:rsidRPr="00000000">
              <w:rPr>
                <w:rFonts w:ascii="Garamond" w:cs="Garamond" w:eastAsia="Garamond" w:hAnsi="Garamond"/>
                <w:i w:val="1"/>
                <w:iCs w:val="1"/>
                <w:sz w:val="24"/>
                <w:szCs w:val="24"/>
                <w:rtl w:val="0"/>
              </w:rPr>
              <w:t xml:space="preserve">Activos</w:t>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aramond" w:cs="Garamond" w:eastAsia="Garamond" w:hAnsi="Garamond"/>
                <w:i w:val="1"/>
                <w:iCs w:val="1"/>
                <w:sz w:val="24"/>
                <w:szCs w:val="24"/>
              </w:rPr>
            </w:pPr>
            <w:r w:rsidDel="00000000" w:rsidR="00000000" w:rsidRPr="00000000">
              <w:rPr>
                <w:rtl w:val="0"/>
              </w:rPr>
            </w:r>
          </w:p>
        </w:tc>
        <w:tc>
          <w:tcPr>
            <w:vMerge w:val="continue"/>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4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aramond" w:cs="Garamond" w:eastAsia="Garamond" w:hAnsi="Garamond"/>
                <w:i w:val="1"/>
                <w:iCs w:val="1"/>
                <w:sz w:val="24"/>
                <w:szCs w:val="24"/>
              </w:rPr>
            </w:pPr>
            <w:r w:rsidDel="00000000" w:rsidR="00000000" w:rsidRPr="00000000">
              <w:rPr>
                <w:rtl w:val="0"/>
              </w:rPr>
            </w:r>
          </w:p>
        </w:tc>
      </w:tr>
    </w:tbl>
    <w:p w:rsidR="00000000" w:rsidDel="00000000" w:rsidP="00000000" w:rsidRDefault="00000000" w:rsidRPr="00000000" w14:paraId="000004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1"/>
          <w:bCs w:val="1"/>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27">
      <w:pPr>
        <w:jc w:val="both"/>
        <w:rPr>
          <w:rFonts w:ascii="Garamond" w:cs="Garamond" w:eastAsia="Garamond" w:hAnsi="Garamond"/>
          <w:i w:val="1"/>
          <w:iCs w:val="1"/>
          <w:sz w:val="24"/>
          <w:szCs w:val="24"/>
        </w:rPr>
      </w:pPr>
      <w:r w:rsidDel="00000000" w:rsidR="00000000" w:rsidRPr="00000000">
        <w:rPr>
          <w:rFonts w:ascii="Garamond" w:cs="Garamond" w:eastAsia="Garamond" w:hAnsi="Garamond"/>
          <w:i w:val="1"/>
          <w:iCs w:val="1"/>
          <w:sz w:val="24"/>
          <w:szCs w:val="24"/>
          <w:rtl w:val="0"/>
        </w:rPr>
        <w:t xml:space="preserve">“La Agencia Nacional de Contratación Pública - Colombia Compra Eficiente presenta el estudio del sector para determinar la conveniencia de incluir los requisitos habilitantes diferenciales y los puntajes adicionales en favor de las MiPymes y los emprendimientos y empresas de mujeres. Con este estudio se cumple la reglamentación establecida en el Decreto 1082 de 2015, modificado por el Decreto 1860 de 2021, al explicarse de manera clara y precisa las razones que sustentan la </w:t>
      </w:r>
    </w:p>
    <w:p w:rsidR="00000000" w:rsidDel="00000000" w:rsidP="00000000" w:rsidRDefault="00000000" w:rsidRPr="00000000" w14:paraId="00000428">
      <w:pPr>
        <w:jc w:val="both"/>
        <w:rPr>
          <w:rFonts w:ascii="Garamond" w:cs="Garamond" w:eastAsia="Garamond" w:hAnsi="Garamond"/>
          <w:i w:val="1"/>
          <w:iCs w:val="1"/>
          <w:sz w:val="24"/>
          <w:szCs w:val="24"/>
        </w:rPr>
      </w:pPr>
      <w:r w:rsidDel="00000000" w:rsidR="00000000" w:rsidRPr="00000000">
        <w:rPr>
          <w:rtl w:val="0"/>
        </w:rPr>
      </w:r>
    </w:p>
    <w:p w:rsidR="00000000" w:rsidDel="00000000" w:rsidP="00000000" w:rsidRDefault="00000000" w:rsidRPr="00000000" w14:paraId="00000429">
      <w:pPr>
        <w:jc w:val="both"/>
        <w:rPr>
          <w:rFonts w:ascii="Garamond" w:cs="Garamond" w:eastAsia="Garamond" w:hAnsi="Garamond"/>
          <w:i w:val="1"/>
          <w:iCs w:val="1"/>
          <w:sz w:val="24"/>
          <w:szCs w:val="24"/>
        </w:rPr>
      </w:pPr>
      <w:r w:rsidDel="00000000" w:rsidR="00000000" w:rsidRPr="00000000">
        <w:rPr>
          <w:rFonts w:ascii="Garamond" w:cs="Garamond" w:eastAsia="Garamond" w:hAnsi="Garamond"/>
          <w:i w:val="1"/>
          <w:iCs w:val="1"/>
          <w:sz w:val="24"/>
          <w:szCs w:val="24"/>
          <w:rtl w:val="0"/>
        </w:rPr>
        <w:t xml:space="preserve">escogencia de algunos requisitos habilitantes diferenciales en favor de las MiPymes y</w:t>
      </w:r>
      <w:r w:rsidDel="00000000" w:rsidR="00000000" w:rsidRPr="00000000">
        <w:rPr>
          <w:rFonts w:ascii="Garamond" w:cs="Garamond" w:eastAsia="Garamond" w:hAnsi="Garamond"/>
          <w:sz w:val="24"/>
          <w:szCs w:val="24"/>
          <w:rtl w:val="0"/>
        </w:rPr>
        <w:t xml:space="preserve"> </w:t>
      </w:r>
      <w:r w:rsidDel="00000000" w:rsidR="00000000" w:rsidRPr="00000000">
        <w:rPr>
          <w:rFonts w:ascii="Garamond" w:cs="Garamond" w:eastAsia="Garamond" w:hAnsi="Garamond"/>
          <w:i w:val="1"/>
          <w:iCs w:val="1"/>
          <w:sz w:val="24"/>
          <w:szCs w:val="24"/>
          <w:rtl w:val="0"/>
        </w:rPr>
        <w:t xml:space="preserve">los emprendimientos y empresas de mujeres. y los motivos por los que se excluyeron otros. Asimismo, se expone la justificación de la decisión de incorporar en los documentos tipo sobre los cuales recae el estudio puntajes adicionales en favor de las MiPymes y los emprendimientos y empresas de mujeres. Por último, se demuestra que la elección de los indicadores de capacidad financiera y organizacional se realizó con base en un estudio objetivo en el marco de un análisis de la información financiera de las empresas del sector, a partir de la cual se determinó la viabilidad de establecer Índices de capacidad financiera y organizacional más flexibles en favor de las MiPymes”.</w:t>
      </w:r>
    </w:p>
    <w:p w:rsidR="00000000" w:rsidDel="00000000" w:rsidP="00000000" w:rsidRDefault="00000000" w:rsidRPr="00000000" w14:paraId="000004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2B">
      <w:pPr>
        <w:jc w:val="both"/>
        <w:rPr>
          <w:rFonts w:ascii="Garamond" w:cs="Garamond" w:eastAsia="Garamond" w:hAnsi="Garamond"/>
          <w:b w:val="1"/>
          <w:bCs w:val="1"/>
          <w:sz w:val="24"/>
          <w:szCs w:val="24"/>
        </w:rPr>
      </w:pPr>
      <w:r w:rsidDel="00000000" w:rsidR="00000000" w:rsidRPr="00000000">
        <w:rPr>
          <w:rtl w:val="0"/>
        </w:rPr>
      </w:r>
    </w:p>
    <w:p w:rsidR="00000000" w:rsidDel="00000000" w:rsidP="00000000" w:rsidRDefault="00000000" w:rsidRPr="00000000" w14:paraId="0000042C">
      <w:pPr>
        <w:keepNext w:val="0"/>
        <w:keepLines w:val="0"/>
        <w:pageBreakBefore w:val="0"/>
        <w:widowControl w:val="0"/>
        <w:numPr>
          <w:ilvl w:val="0"/>
          <w:numId w:val="10"/>
        </w:numPr>
        <w:pBdr>
          <w:top w:space="0" w:sz="0" w:val="nil"/>
          <w:left w:space="0" w:sz="0" w:val="nil"/>
          <w:bottom w:space="0" w:sz="0" w:val="nil"/>
          <w:right w:space="0" w:sz="0" w:val="nil"/>
          <w:between w:space="0" w:sz="0" w:val="nil"/>
        </w:pBdr>
        <w:shd w:fill="auto" w:val="clear"/>
        <w:spacing w:after="0" w:before="0" w:line="240" w:lineRule="auto"/>
        <w:ind w:left="402" w:right="0" w:hanging="284"/>
        <w:jc w:val="both"/>
        <w:rPr>
          <w:rFonts w:ascii="Garamond" w:cs="Garamond" w:eastAsia="Garamond" w:hAnsi="Garamond"/>
          <w:b w:val="1"/>
          <w:bCs w:val="1"/>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1"/>
          <w:bCs w:val="1"/>
          <w:i w:val="0"/>
          <w:iCs w:val="0"/>
          <w:smallCaps w:val="0"/>
          <w:strike w:val="0"/>
          <w:color w:val="000000"/>
          <w:sz w:val="24"/>
          <w:szCs w:val="24"/>
          <w:u w:val="none"/>
          <w:shd w:fill="auto" w:val="clear"/>
          <w:vertAlign w:val="baseline"/>
          <w:rtl w:val="0"/>
        </w:rPr>
        <w:t xml:space="preserve"> ESTUDIO DE MERCADO</w:t>
      </w:r>
    </w:p>
    <w:p w:rsidR="00000000" w:rsidDel="00000000" w:rsidP="00000000" w:rsidRDefault="00000000" w:rsidRPr="00000000" w14:paraId="0000042D">
      <w:pPr>
        <w:jc w:val="both"/>
        <w:rPr>
          <w:rFonts w:ascii="Garamond" w:cs="Garamond" w:eastAsia="Garamond" w:hAnsi="Garamond"/>
          <w:b w:val="1"/>
          <w:bCs w:val="1"/>
          <w:sz w:val="24"/>
          <w:szCs w:val="24"/>
        </w:rPr>
      </w:pPr>
      <w:r w:rsidDel="00000000" w:rsidR="00000000" w:rsidRPr="00000000">
        <w:rPr>
          <w:rtl w:val="0"/>
        </w:rPr>
      </w:r>
    </w:p>
    <w:p w:rsidR="00000000" w:rsidDel="00000000" w:rsidP="00000000" w:rsidRDefault="00000000" w:rsidRPr="00000000" w14:paraId="0000042E">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En este componente del Estudio de Sector, es importante establecer los precios obtenidos a potenciales oferentes, a partir de los cuales se estimó el valor del presente proceso de contratación, con base en los cuales, el Fondo de Desarrollo Local de San Cristóbal determina las variables, como regla general, para estimar el Valor del Presupuesto Oficial del presente proceso contractual y elaborar el respectivo Estudio de Sector.</w:t>
      </w:r>
    </w:p>
    <w:p w:rsidR="00000000" w:rsidDel="00000000" w:rsidP="00000000" w:rsidRDefault="00000000" w:rsidRPr="00000000" w14:paraId="0000042F">
      <w:pPr>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4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4"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Desde la metodología utilizada para elaborar el presente Estudio de Sector, se consideraron cuatro (4)</w:t>
      </w:r>
      <w:r w:rsidDel="00000000" w:rsidR="00000000" w:rsidRPr="00000000">
        <w:rPr>
          <w:rFonts w:ascii="Garamond" w:cs="Garamond" w:eastAsia="Garamond" w:hAnsi="Garamond"/>
          <w:b w:val="1"/>
          <w:bCs w:val="1"/>
          <w:i w:val="0"/>
          <w:iCs w:val="0"/>
          <w:smallCaps w:val="0"/>
          <w:strike w:val="0"/>
          <w:color w:val="000000"/>
          <w:sz w:val="24"/>
          <w:szCs w:val="24"/>
          <w:u w:val="none"/>
          <w:shd w:fill="auto" w:val="clear"/>
          <w:vertAlign w:val="baseline"/>
          <w:rtl w:val="0"/>
        </w:rPr>
        <w:t xml:space="preserve"> </w:t>
      </w: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alternativas para obtener valores reales en el mercado.</w:t>
      </w:r>
    </w:p>
    <w:p w:rsidR="00000000" w:rsidDel="00000000" w:rsidP="00000000" w:rsidRDefault="00000000" w:rsidRPr="00000000" w14:paraId="00000431">
      <w:pPr>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432">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El presente estudio se encuentra anexado al presente proceso.</w:t>
      </w:r>
    </w:p>
    <w:p w:rsidR="00000000" w:rsidDel="00000000" w:rsidP="00000000" w:rsidRDefault="00000000" w:rsidRPr="00000000" w14:paraId="00000433">
      <w:pPr>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4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1"/>
          <w:bCs w:val="1"/>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35">
      <w:pPr>
        <w:pStyle w:val="Heading1"/>
        <w:numPr>
          <w:ilvl w:val="0"/>
          <w:numId w:val="10"/>
        </w:numPr>
        <w:tabs>
          <w:tab w:val="left" w:leader="none" w:pos="839"/>
        </w:tabs>
        <w:ind w:left="402" w:hanging="361"/>
        <w:jc w:val="both"/>
        <w:rPr>
          <w:rFonts w:ascii="Garamond" w:cs="Garamond" w:eastAsia="Garamond" w:hAnsi="Garamond"/>
        </w:rPr>
      </w:pPr>
      <w:r w:rsidDel="00000000" w:rsidR="00000000" w:rsidRPr="00000000">
        <w:rPr>
          <w:rFonts w:ascii="Garamond" w:cs="Garamond" w:eastAsia="Garamond" w:hAnsi="Garamond"/>
          <w:rtl w:val="0"/>
        </w:rPr>
        <w:t xml:space="preserve">Conclusiones</w:t>
      </w:r>
    </w:p>
    <w:p w:rsidR="00000000" w:rsidDel="00000000" w:rsidP="00000000" w:rsidRDefault="00000000" w:rsidRPr="00000000" w14:paraId="000004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both"/>
        <w:rPr>
          <w:rFonts w:ascii="Garamond" w:cs="Garamond" w:eastAsia="Garamond" w:hAnsi="Garamond"/>
          <w:b w:val="1"/>
          <w:bCs w:val="1"/>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 w:lineRule="auto"/>
        <w:ind w:left="118" w:right="137"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De la búsqueda efectuada en el SECOP, y el análisis de datos que nos proporciona el Modelo de Abastecimiento Estratégico – MAE en los procesos consultados con objeto similares, se concluye lo siguiente:</w:t>
      </w:r>
    </w:p>
    <w:p w:rsidR="00000000" w:rsidDel="00000000" w:rsidP="00000000" w:rsidRDefault="00000000" w:rsidRPr="00000000" w14:paraId="000004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39">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tabs>
          <w:tab w:val="left" w:leader="none" w:pos="839"/>
        </w:tabs>
        <w:spacing w:after="0" w:before="0" w:line="235" w:lineRule="auto"/>
        <w:ind w:left="838" w:right="134" w:hanging="36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El mercado de los bienes y servicios requeridos para el presente proceso están incluidos en un mercado amplio, que permite a los proveedores que se </w:t>
      </w:r>
      <w:r w:rsidDel="00000000" w:rsidR="00000000" w:rsidRPr="00000000">
        <w:rPr>
          <w:rFonts w:ascii="Garamond" w:cs="Garamond" w:eastAsia="Garamond" w:hAnsi="Garamond"/>
          <w:sz w:val="24"/>
          <w:szCs w:val="24"/>
          <w:rtl w:val="0"/>
        </w:rPr>
        <w:t xml:space="preserve">especializan</w:t>
      </w: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 en brindar este tipo de bienes y que estén facultados para cumplir en la totalidad de la demanda a muy buena Calidad, no solo en el ámbito público sino también en los demás sectores que lo requiera.</w:t>
      </w:r>
    </w:p>
    <w:p w:rsidR="00000000" w:rsidDel="00000000" w:rsidP="00000000" w:rsidRDefault="00000000" w:rsidRPr="00000000" w14:paraId="0000043A">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tabs>
          <w:tab w:val="left" w:leader="none" w:pos="839"/>
        </w:tabs>
        <w:spacing w:after="0" w:before="0" w:line="235" w:lineRule="auto"/>
        <w:ind w:left="838" w:right="135" w:hanging="36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Actualmente se cuenta con una gran cantidad de proveedores en el mercado, con la capacidad de prestar los servicios incluidos en los sectores </w:t>
      </w:r>
      <w:r w:rsidDel="00000000" w:rsidR="00000000" w:rsidRPr="00000000">
        <w:rPr>
          <w:rFonts w:ascii="Garamond" w:cs="Garamond" w:eastAsia="Garamond" w:hAnsi="Garamond"/>
          <w:sz w:val="24"/>
          <w:szCs w:val="24"/>
          <w:rtl w:val="0"/>
        </w:rPr>
        <w:t xml:space="preserve">“Sector de Tecnologías de la Información y las Comunicaciones (Sector TIC)”, “Actividades profesionales, científicas y técnicas”, “desarrollo social/educativo” y otras actividades de servicios</w:t>
      </w:r>
      <w:r w:rsidDel="00000000" w:rsidR="00000000" w:rsidRPr="00000000">
        <w:rPr>
          <w:rFonts w:ascii="Garamond" w:cs="Garamond" w:eastAsia="Garamond" w:hAnsi="Garamond"/>
          <w:rtl w:val="0"/>
        </w:rPr>
        <w:t xml:space="preserve">”</w:t>
      </w: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 como se evidencio en el análisis de datos abiertos en la Metodología de Abastecimiento Estratégico - MAE. </w:t>
      </w:r>
    </w:p>
    <w:p w:rsidR="00000000" w:rsidDel="00000000" w:rsidP="00000000" w:rsidRDefault="00000000" w:rsidRPr="00000000" w14:paraId="0000043B">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tabs>
          <w:tab w:val="left" w:leader="none" w:pos="839"/>
        </w:tabs>
        <w:spacing w:after="0" w:before="0" w:line="235" w:lineRule="auto"/>
        <w:ind w:left="838" w:right="134" w:hanging="36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Una vez verificada en la plataforma de SECOP ll, se evidencio que existen contratos de otras entidades y de otras vigencias relacionados con el presente objeto. Para el efecto, se realizó una búsqueda en el Sistema Electrónico de Contratación Pública (SECOP), identificando entidades estatales que hayan realizado contrataciones similares, de tal forma que se considere pertinente su análisis para la presente investigación de mercado.</w:t>
      </w:r>
    </w:p>
    <w:p w:rsidR="00000000" w:rsidDel="00000000" w:rsidP="00000000" w:rsidRDefault="00000000" w:rsidRPr="00000000" w14:paraId="0000043C">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tabs>
          <w:tab w:val="left" w:leader="none" w:pos="839"/>
        </w:tabs>
        <w:spacing w:after="0" w:before="87" w:line="235" w:lineRule="auto"/>
        <w:ind w:left="838" w:right="139" w:hanging="36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Los bienes objeto del presente estudio, tienen condiciones técnicas normales que permiten al futuro contratista cumplir con las actividades programadas para su realización, atendiendo la cadena de producción, distribución y venta, ya que hacen parte de la economía nacional a gran escala, lo que genera tranquilidad al sector dedicado a esta actividad.</w:t>
      </w:r>
    </w:p>
    <w:p w:rsidR="00000000" w:rsidDel="00000000" w:rsidP="00000000" w:rsidRDefault="00000000" w:rsidRPr="00000000" w14:paraId="0000043D">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tabs>
          <w:tab w:val="left" w:leader="none" w:pos="839"/>
        </w:tabs>
        <w:spacing w:after="0" w:before="87" w:line="235" w:lineRule="auto"/>
        <w:ind w:left="838" w:right="139" w:hanging="36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De acuerdo con las conductas del mercado analizadas a lo largo del estudio de mercado, se evidencia que los precios de los elementos relacionados en la necesidad no afectan en ninguna medida la ejecución del futuro contrato. Lo anterior, teniendo en cuenta que las empresas que suministran estos bienes tienen amplia trayectoria a nivel nacional y no hay ninguna variable económica que afecte el comportamiento de los precios, de esta forma los precios que se </w:t>
      </w:r>
      <w:r w:rsidDel="00000000" w:rsidR="00000000" w:rsidRPr="00000000">
        <w:rPr>
          <w:rFonts w:ascii="Garamond" w:cs="Garamond" w:eastAsia="Garamond" w:hAnsi="Garamond"/>
          <w:sz w:val="24"/>
          <w:szCs w:val="24"/>
          <w:rtl w:val="0"/>
        </w:rPr>
        <w:t xml:space="preserve">manejan</w:t>
      </w: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 en el futuro contrato de prestación de servicios serán constantes hasta finalizar el plazo de ejecución y/o agotar presupuesto, lo que primero ocurra.</w:t>
      </w:r>
    </w:p>
    <w:p w:rsidR="00000000" w:rsidDel="00000000" w:rsidP="00000000" w:rsidRDefault="00000000" w:rsidRPr="00000000" w14:paraId="0000043E">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tabs>
          <w:tab w:val="left" w:leader="none" w:pos="839"/>
        </w:tabs>
        <w:spacing w:after="0" w:before="0" w:line="235" w:lineRule="auto"/>
        <w:ind w:left="838" w:right="131" w:hanging="36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Las Entidades estatales utilizan indistintamente las modalidades de contratación directa para la adquisición de ayudas técnicas; sin embargo, de las Entidades consultadas, la mayoría optó por modalidades que permitieran la comparación de las ofertas con base en criterios técnicos y económicos, lo cual resulta beneficioso para la Entidad, en orden a seleccionar ofertas que puedan significar valores agregados a los bienes a adquirir.</w:t>
      </w:r>
    </w:p>
    <w:p w:rsidR="00000000" w:rsidDel="00000000" w:rsidP="00000000" w:rsidRDefault="00000000" w:rsidRPr="00000000" w14:paraId="0000043F">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tabs>
          <w:tab w:val="left" w:leader="none" w:pos="839"/>
        </w:tabs>
        <w:spacing w:after="0" w:before="0" w:line="235" w:lineRule="auto"/>
        <w:ind w:left="838" w:right="134" w:hanging="36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Frente al tipo de contrato, las entidades estatales consultadas en el presente análisis suscribieron </w:t>
      </w:r>
      <w:r w:rsidDel="00000000" w:rsidR="00000000" w:rsidRPr="00000000">
        <w:rPr>
          <w:rFonts w:ascii="Garamond" w:cs="Garamond" w:eastAsia="Garamond" w:hAnsi="Garamond"/>
          <w:sz w:val="24"/>
          <w:szCs w:val="24"/>
          <w:rtl w:val="0"/>
        </w:rPr>
        <w:t xml:space="preserve">contratos</w:t>
      </w: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 de prestación de servicios.</w:t>
      </w:r>
    </w:p>
    <w:p w:rsidR="00000000" w:rsidDel="00000000" w:rsidP="00000000" w:rsidRDefault="00000000" w:rsidRPr="00000000" w14:paraId="00000440">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tabs>
          <w:tab w:val="left" w:leader="none" w:pos="839"/>
        </w:tabs>
        <w:spacing w:after="0" w:before="0" w:line="235" w:lineRule="auto"/>
        <w:ind w:left="838" w:right="136" w:hanging="36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El precio del bien a contratar es el principal factor de decisión para la adjudicación de los contratos; concomitante, los precios no presentan alta volatilidad por factores asociados a variables macroeconómicas o por materias primas asociadas.</w:t>
      </w:r>
    </w:p>
    <w:p w:rsidR="00000000" w:rsidDel="00000000" w:rsidP="00000000" w:rsidRDefault="00000000" w:rsidRPr="00000000" w14:paraId="00000441">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tabs>
          <w:tab w:val="left" w:leader="none" w:pos="839"/>
        </w:tabs>
        <w:spacing w:after="0" w:before="0" w:line="235" w:lineRule="auto"/>
        <w:ind w:left="838" w:right="139" w:hanging="360"/>
        <w:jc w:val="both"/>
        <w:rPr>
          <w:rFonts w:ascii="Garamond" w:cs="Garamond" w:eastAsia="Garamond" w:hAnsi="Garamond"/>
          <w:b w:val="0"/>
          <w:bCs w:val="0"/>
          <w:i w:val="0"/>
          <w:iCs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shd w:fill="auto" w:val="clear"/>
          <w:vertAlign w:val="baseline"/>
          <w:rtl w:val="0"/>
        </w:rPr>
        <w:t xml:space="preserve">En relación con el plazo de los contratos para este tipo de prestación de servicio, oscila entre                                        6 y 12 meses, sin superar la vigencia anual. </w:t>
      </w:r>
      <w:r w:rsidDel="00000000" w:rsidR="00000000" w:rsidRPr="00000000">
        <w:rPr>
          <w:rtl w:val="0"/>
        </w:rPr>
      </w:r>
    </w:p>
    <w:p w:rsidR="00000000" w:rsidDel="00000000" w:rsidP="00000000" w:rsidRDefault="00000000" w:rsidRPr="00000000" w14:paraId="000004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sz w:val="26"/>
          <w:szCs w:val="26"/>
        </w:rPr>
      </w:pPr>
      <w:r w:rsidDel="00000000" w:rsidR="00000000" w:rsidRPr="00000000">
        <w:rPr>
          <w:rtl w:val="0"/>
        </w:rPr>
      </w:r>
    </w:p>
    <w:p w:rsidR="00000000" w:rsidDel="00000000" w:rsidP="00000000" w:rsidRDefault="00000000" w:rsidRPr="00000000" w14:paraId="000004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sz w:val="26"/>
          <w:szCs w:val="26"/>
        </w:rPr>
      </w:pPr>
      <w:r w:rsidDel="00000000" w:rsidR="00000000" w:rsidRPr="00000000">
        <w:rPr>
          <w:rtl w:val="0"/>
        </w:rPr>
      </w:r>
    </w:p>
    <w:p w:rsidR="00000000" w:rsidDel="00000000" w:rsidP="00000000" w:rsidRDefault="00000000" w:rsidRPr="00000000" w14:paraId="000004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sz w:val="26"/>
          <w:szCs w:val="26"/>
        </w:rPr>
      </w:pPr>
      <w:r w:rsidDel="00000000" w:rsidR="00000000" w:rsidRPr="00000000">
        <w:rPr>
          <w:rtl w:val="0"/>
        </w:rPr>
      </w:r>
    </w:p>
    <w:p w:rsidR="00000000" w:rsidDel="00000000" w:rsidP="00000000" w:rsidRDefault="00000000" w:rsidRPr="00000000" w14:paraId="000004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sz w:val="26"/>
          <w:szCs w:val="26"/>
        </w:rPr>
      </w:pPr>
      <w:r w:rsidDel="00000000" w:rsidR="00000000" w:rsidRPr="00000000">
        <w:rPr>
          <w:rtl w:val="0"/>
        </w:rPr>
      </w:r>
    </w:p>
    <w:p w:rsidR="00000000" w:rsidDel="00000000" w:rsidP="00000000" w:rsidRDefault="00000000" w:rsidRPr="00000000" w14:paraId="00000446">
      <w:pPr>
        <w:widowControl w:val="1"/>
        <w:spacing w:line="259" w:lineRule="auto"/>
        <w:ind w:left="720" w:right="30" w:firstLine="0"/>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447">
      <w:pPr>
        <w:widowControl w:val="1"/>
        <w:spacing w:line="259" w:lineRule="auto"/>
        <w:jc w:val="center"/>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_______________________________________</w:t>
      </w:r>
    </w:p>
    <w:p w:rsidR="00000000" w:rsidDel="00000000" w:rsidP="00000000" w:rsidRDefault="00000000" w:rsidRPr="00000000" w14:paraId="00000448">
      <w:pPr>
        <w:widowControl w:val="1"/>
        <w:spacing w:line="259" w:lineRule="auto"/>
        <w:jc w:val="center"/>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CARLOS HERNANDO MACÍAS MONTOYA</w:t>
      </w:r>
    </w:p>
    <w:p w:rsidR="00000000" w:rsidDel="00000000" w:rsidP="00000000" w:rsidRDefault="00000000" w:rsidRPr="00000000" w14:paraId="00000449">
      <w:pPr>
        <w:widowControl w:val="1"/>
        <w:spacing w:line="259" w:lineRule="auto"/>
        <w:jc w:val="center"/>
        <w:rPr>
          <w:rFonts w:ascii="Garamond" w:cs="Garamond" w:eastAsia="Garamond" w:hAnsi="Garamond"/>
          <w:sz w:val="26"/>
          <w:szCs w:val="26"/>
        </w:rPr>
      </w:pPr>
      <w:r w:rsidDel="00000000" w:rsidR="00000000" w:rsidRPr="00000000">
        <w:rPr>
          <w:rFonts w:ascii="Garamond" w:cs="Garamond" w:eastAsia="Garamond" w:hAnsi="Garamond"/>
          <w:b w:val="1"/>
          <w:bCs w:val="1"/>
          <w:sz w:val="24"/>
          <w:szCs w:val="24"/>
          <w:rtl w:val="0"/>
        </w:rPr>
        <w:t xml:space="preserve">Alcalde Local de San Cristóbal</w:t>
      </w:r>
      <w:r w:rsidDel="00000000" w:rsidR="00000000" w:rsidRPr="00000000">
        <w:rPr>
          <w:rtl w:val="0"/>
        </w:rPr>
      </w:r>
    </w:p>
    <w:p w:rsidR="00000000" w:rsidDel="00000000" w:rsidP="00000000" w:rsidRDefault="00000000" w:rsidRPr="00000000" w14:paraId="000004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sz w:val="26"/>
          <w:szCs w:val="26"/>
        </w:rPr>
      </w:pPr>
      <w:r w:rsidDel="00000000" w:rsidR="00000000" w:rsidRPr="00000000">
        <w:rPr>
          <w:rtl w:val="0"/>
        </w:rPr>
      </w:r>
    </w:p>
    <w:p w:rsidR="00000000" w:rsidDel="00000000" w:rsidP="00000000" w:rsidRDefault="00000000" w:rsidRPr="00000000" w14:paraId="0000044B">
      <w:pPr>
        <w:pBdr>
          <w:top w:color="000000" w:space="0" w:sz="0" w:val="none"/>
          <w:left w:color="000000" w:space="0" w:sz="0" w:val="none"/>
          <w:bottom w:color="000000" w:space="0" w:sz="0" w:val="none"/>
          <w:right w:color="000000" w:space="0" w:sz="0" w:val="none"/>
          <w:between w:color="000000" w:space="0" w:sz="0" w:val="none"/>
        </w:pBdr>
        <w:shd w:fill="ffffff" w:val="clear"/>
        <w:jc w:val="both"/>
        <w:rPr>
          <w:rFonts w:ascii="Garamond" w:cs="Garamond" w:eastAsia="Garamond" w:hAnsi="Garamond"/>
          <w:sz w:val="18"/>
          <w:szCs w:val="18"/>
        </w:rPr>
      </w:pPr>
      <w:r w:rsidDel="00000000" w:rsidR="00000000" w:rsidRPr="00000000">
        <w:rPr>
          <w:rFonts w:ascii="Garamond" w:cs="Garamond" w:eastAsia="Garamond" w:hAnsi="Garamond"/>
          <w:sz w:val="16"/>
          <w:szCs w:val="16"/>
          <w:rtl w:val="0"/>
        </w:rPr>
        <w:t xml:space="preserve">Elaboró: Rubi Alexandra Rodríguez Trujillo- CPS-810-2026</w:t>
      </w:r>
      <w:r w:rsidDel="00000000" w:rsidR="00000000" w:rsidRPr="00000000">
        <w:rPr>
          <w:rFonts w:ascii="Garamond" w:cs="Garamond" w:eastAsia="Garamond" w:hAnsi="Garamond"/>
          <w:sz w:val="16"/>
          <w:szCs w:val="16"/>
        </w:rPr>
        <w:drawing>
          <wp:inline distB="114300" distT="114300" distL="114300" distR="114300">
            <wp:extent cx="254000" cy="254000"/>
            <wp:effectExtent b="0" l="0" r="0" t="0"/>
            <wp:docPr id="28" name="image28.png"/>
            <a:graphic>
              <a:graphicData uri="http://schemas.openxmlformats.org/drawingml/2006/picture">
                <pic:pic>
                  <pic:nvPicPr>
                    <pic:cNvPr id="0" name="image28.png"/>
                    <pic:cNvPicPr preferRelativeResize="0"/>
                  </pic:nvPicPr>
                  <pic:blipFill>
                    <a:blip r:embed="rId49"/>
                    <a:srcRect b="0" l="0" r="0" t="0"/>
                    <a:stretch>
                      <a:fillRect/>
                    </a:stretch>
                  </pic:blipFill>
                  <pic:spPr>
                    <a:xfrm>
                      <a:off x="0" y="0"/>
                      <a:ext cx="254000" cy="254000"/>
                    </a:xfrm>
                    <a:prstGeom prst="rect"/>
                    <a:ln/>
                  </pic:spPr>
                </pic:pic>
              </a:graphicData>
            </a:graphic>
          </wp:inline>
        </w:drawing>
      </w:r>
      <w:r w:rsidDel="00000000" w:rsidR="00000000" w:rsidRPr="00000000">
        <w:rPr>
          <w:rFonts w:ascii="Garamond" w:cs="Garamond" w:eastAsia="Garamond" w:hAnsi="Garamond"/>
          <w:sz w:val="18"/>
          <w:szCs w:val="18"/>
          <w:rtl w:val="0"/>
        </w:rPr>
        <w:t xml:space="preserve"> </w:t>
      </w:r>
      <w:r w:rsidDel="00000000" w:rsidR="00000000" w:rsidRPr="00000000">
        <w:drawing>
          <wp:anchor allowOverlap="1" behindDoc="0" distB="114300" distT="114300" distL="114300" distR="114300" hidden="0" layoutInCell="1" locked="0" relativeHeight="0" simplePos="0">
            <wp:simplePos x="0" y="0"/>
            <wp:positionH relativeFrom="column">
              <wp:posOffset>2305050</wp:posOffset>
            </wp:positionH>
            <wp:positionV relativeFrom="paragraph">
              <wp:posOffset>277732</wp:posOffset>
            </wp:positionV>
            <wp:extent cx="767590" cy="111600"/>
            <wp:effectExtent b="0" l="0" r="0" t="0"/>
            <wp:wrapNone/>
            <wp:docPr id="27" name="image18.png"/>
            <a:graphic>
              <a:graphicData uri="http://schemas.openxmlformats.org/drawingml/2006/picture">
                <pic:pic>
                  <pic:nvPicPr>
                    <pic:cNvPr id="0" name="image18.png"/>
                    <pic:cNvPicPr preferRelativeResize="0"/>
                  </pic:nvPicPr>
                  <pic:blipFill>
                    <a:blip r:embed="rId50"/>
                    <a:srcRect b="0" l="0" r="0" t="0"/>
                    <a:stretch>
                      <a:fillRect/>
                    </a:stretch>
                  </pic:blipFill>
                  <pic:spPr>
                    <a:xfrm>
                      <a:off x="0" y="0"/>
                      <a:ext cx="767590" cy="111600"/>
                    </a:xfrm>
                    <a:prstGeom prst="rect"/>
                    <a:ln/>
                  </pic:spPr>
                </pic:pic>
              </a:graphicData>
            </a:graphic>
          </wp:anchor>
        </w:drawing>
      </w:r>
    </w:p>
    <w:p w:rsidR="00000000" w:rsidDel="00000000" w:rsidP="00000000" w:rsidRDefault="00000000" w:rsidRPr="00000000" w14:paraId="0000044C">
      <w:pPr>
        <w:pBdr>
          <w:top w:color="000000" w:space="0" w:sz="0" w:val="none"/>
          <w:left w:color="000000" w:space="0" w:sz="0" w:val="none"/>
          <w:bottom w:color="000000" w:space="0" w:sz="0" w:val="none"/>
          <w:right w:color="000000" w:space="0" w:sz="0" w:val="none"/>
          <w:between w:color="000000" w:space="0" w:sz="0" w:val="none"/>
        </w:pBdr>
        <w:shd w:fill="ffffff" w:val="clear"/>
        <w:jc w:val="both"/>
        <w:rPr>
          <w:rFonts w:ascii="Garamond" w:cs="Garamond" w:eastAsia="Garamond" w:hAnsi="Garamond"/>
          <w:sz w:val="16"/>
          <w:szCs w:val="16"/>
        </w:rPr>
      </w:pPr>
      <w:r w:rsidDel="00000000" w:rsidR="00000000" w:rsidRPr="00000000">
        <w:rPr>
          <w:rFonts w:ascii="Garamond" w:cs="Garamond" w:eastAsia="Garamond" w:hAnsi="Garamond"/>
          <w:sz w:val="16"/>
          <w:szCs w:val="16"/>
          <w:rtl w:val="0"/>
        </w:rPr>
        <w:t xml:space="preserve">Elaboró: Jaisson Herney Palacios Gómez CPS-641-2026</w:t>
      </w:r>
    </w:p>
    <w:p w:rsidR="00000000" w:rsidDel="00000000" w:rsidP="00000000" w:rsidRDefault="00000000" w:rsidRPr="00000000" w14:paraId="0000044D">
      <w:pPr>
        <w:pBdr>
          <w:top w:color="000000" w:space="0" w:sz="0" w:val="none"/>
          <w:left w:color="000000" w:space="0" w:sz="0" w:val="none"/>
          <w:bottom w:color="000000" w:space="0" w:sz="0" w:val="none"/>
          <w:right w:color="000000" w:space="0" w:sz="0" w:val="none"/>
          <w:between w:color="000000" w:space="0" w:sz="0" w:val="none"/>
        </w:pBdr>
        <w:shd w:fill="ffffff" w:val="clear"/>
        <w:jc w:val="both"/>
        <w:rPr>
          <w:rFonts w:ascii="Garamond" w:cs="Garamond" w:eastAsia="Garamond" w:hAnsi="Garamond"/>
          <w:sz w:val="16"/>
          <w:szCs w:val="16"/>
        </w:rPr>
      </w:pPr>
      <w:r w:rsidDel="00000000" w:rsidR="00000000" w:rsidRPr="00000000">
        <w:rPr>
          <w:rFonts w:ascii="Garamond" w:cs="Garamond" w:eastAsia="Garamond" w:hAnsi="Garamond"/>
          <w:sz w:val="16"/>
          <w:szCs w:val="16"/>
          <w:rtl w:val="0"/>
        </w:rPr>
        <w:t xml:space="preserve">Elaboró:Jose Alejandro Granados Valencia CPS- 245-2026 </w:t>
      </w:r>
      <w:r w:rsidDel="00000000" w:rsidR="00000000" w:rsidRPr="00000000">
        <w:rPr>
          <w:rFonts w:ascii="Garamond" w:cs="Garamond" w:eastAsia="Garamond" w:hAnsi="Garamond"/>
          <w:sz w:val="16"/>
          <w:szCs w:val="16"/>
        </w:rPr>
        <w:drawing>
          <wp:inline distB="114300" distT="114300" distL="114300" distR="114300">
            <wp:extent cx="561975" cy="190500"/>
            <wp:effectExtent b="0" l="0" r="0" t="0"/>
            <wp:docPr id="31" name="image22.png"/>
            <a:graphic>
              <a:graphicData uri="http://schemas.openxmlformats.org/drawingml/2006/picture">
                <pic:pic>
                  <pic:nvPicPr>
                    <pic:cNvPr id="0" name="image22.png"/>
                    <pic:cNvPicPr preferRelativeResize="0"/>
                  </pic:nvPicPr>
                  <pic:blipFill>
                    <a:blip r:embed="rId51"/>
                    <a:srcRect b="0" l="0" r="0" t="0"/>
                    <a:stretch>
                      <a:fillRect/>
                    </a:stretch>
                  </pic:blipFill>
                  <pic:spPr>
                    <a:xfrm>
                      <a:off x="0" y="0"/>
                      <a:ext cx="561975" cy="190500"/>
                    </a:xfrm>
                    <a:prstGeom prst="rect"/>
                    <a:ln/>
                  </pic:spPr>
                </pic:pic>
              </a:graphicData>
            </a:graphic>
          </wp:inline>
        </w:drawing>
      </w:r>
      <w:r w:rsidDel="00000000" w:rsidR="00000000" w:rsidRPr="00000000">
        <w:rPr>
          <w:rtl w:val="0"/>
        </w:rPr>
      </w:r>
    </w:p>
    <w:p w:rsidR="00000000" w:rsidDel="00000000" w:rsidP="00000000" w:rsidRDefault="00000000" w:rsidRPr="00000000" w14:paraId="0000044E">
      <w:pPr>
        <w:widowControl w:val="1"/>
        <w:shd w:fill="ffffff" w:val="clea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Revisó: Ana María Cano Ardila / CPS -2026 / Líder Participación incidente</w:t>
      </w:r>
    </w:p>
    <w:p w:rsidR="00000000" w:rsidDel="00000000" w:rsidP="00000000" w:rsidRDefault="00000000" w:rsidRPr="00000000" w14:paraId="0000044F">
      <w:pPr>
        <w:shd w:fill="ffffff" w:val="clear"/>
        <w:spacing w:line="259"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Revisó: Juan carlos Moreno / CPS – xx-2026 / Gerente territorio Social</w:t>
      </w:r>
    </w:p>
    <w:p w:rsidR="00000000" w:rsidDel="00000000" w:rsidP="00000000" w:rsidRDefault="00000000" w:rsidRPr="00000000" w14:paraId="00000450">
      <w:pPr>
        <w:shd w:fill="ffffff" w:val="clear"/>
        <w:spacing w:line="259"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Revisó: Juan Carlos Linares Jimenez CPS-065/2026 Oficina de Planeación. </w:t>
      </w:r>
    </w:p>
    <w:p w:rsidR="00000000" w:rsidDel="00000000" w:rsidP="00000000" w:rsidRDefault="00000000" w:rsidRPr="00000000" w14:paraId="00000451">
      <w:pPr>
        <w:shd w:fill="ffffff" w:val="clear"/>
        <w:spacing w:line="259"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Revisó Componente Jurídico: XXXXXX– Contratista. Oficina Contratación. </w:t>
      </w:r>
    </w:p>
    <w:p w:rsidR="00000000" w:rsidDel="00000000" w:rsidP="00000000" w:rsidRDefault="00000000" w:rsidRPr="00000000" w14:paraId="00000452">
      <w:pPr>
        <w:widowControl w:val="1"/>
        <w:shd w:fill="ffffff" w:val="clear"/>
        <w:spacing w:line="259"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Revisor Componente financiero: xxxx – profesional Contratista. Oficina Contratación.</w:t>
      </w:r>
    </w:p>
    <w:p w:rsidR="00000000" w:rsidDel="00000000" w:rsidP="00000000" w:rsidRDefault="00000000" w:rsidRPr="00000000" w14:paraId="00000453">
      <w:pPr>
        <w:widowControl w:val="1"/>
        <w:shd w:fill="ffffff" w:val="clear"/>
        <w:spacing w:line="259" w:lineRule="auto"/>
        <w:jc w:val="both"/>
        <w:rPr>
          <w:rFonts w:ascii="Garamond" w:cs="Garamond" w:eastAsia="Garamond" w:hAnsi="Garamond"/>
        </w:rPr>
      </w:pPr>
      <w:r w:rsidDel="00000000" w:rsidR="00000000" w:rsidRPr="00000000">
        <w:rPr>
          <w:rFonts w:ascii="Garamond" w:cs="Garamond" w:eastAsia="Garamond" w:hAnsi="Garamond"/>
          <w:sz w:val="20"/>
          <w:szCs w:val="20"/>
          <w:rtl w:val="0"/>
        </w:rPr>
        <w:t xml:space="preserve">Revisor Componente técnico: xxxxx– profesional Contratista. Oficina Contratación.</w:t>
      </w:r>
      <w:r w:rsidDel="00000000" w:rsidR="00000000" w:rsidRPr="00000000">
        <w:rPr>
          <w:rtl w:val="0"/>
        </w:rPr>
      </w:r>
    </w:p>
    <w:p w:rsidR="00000000" w:rsidDel="00000000" w:rsidP="00000000" w:rsidRDefault="00000000" w:rsidRPr="00000000" w14:paraId="00000454">
      <w:pPr>
        <w:widowControl w:val="1"/>
        <w:shd w:fill="ffffff" w:val="clear"/>
        <w:spacing w:line="259" w:lineRule="auto"/>
        <w:jc w:val="both"/>
        <w:rPr>
          <w:rFonts w:ascii="Garamond" w:cs="Garamond" w:eastAsia="Garamond" w:hAnsi="Garamond"/>
        </w:rPr>
      </w:pPr>
      <w:r w:rsidDel="00000000" w:rsidR="00000000" w:rsidRPr="00000000">
        <w:rPr>
          <w:rFonts w:ascii="Garamond" w:cs="Garamond" w:eastAsia="Garamond" w:hAnsi="Garamond"/>
          <w:sz w:val="20"/>
          <w:szCs w:val="20"/>
          <w:rtl w:val="0"/>
        </w:rPr>
        <w:t xml:space="preserve">Revisor Componente Jurídico: xxxxxxx – Abogado Contratista Oficina Contratación</w:t>
      </w:r>
      <w:r w:rsidDel="00000000" w:rsidR="00000000" w:rsidRPr="00000000">
        <w:rPr>
          <w:rtl w:val="0"/>
        </w:rPr>
      </w:r>
    </w:p>
    <w:p w:rsidR="00000000" w:rsidDel="00000000" w:rsidP="00000000" w:rsidRDefault="00000000" w:rsidRPr="00000000" w14:paraId="00000455">
      <w:pPr>
        <w:widowControl w:val="1"/>
        <w:shd w:fill="ffffff" w:val="clear"/>
        <w:spacing w:line="259"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Aprobó: Esthefany Chaverra Mosquera – Asesor Despacho Planeación</w:t>
      </w:r>
    </w:p>
    <w:p w:rsidR="00000000" w:rsidDel="00000000" w:rsidP="00000000" w:rsidRDefault="00000000" w:rsidRPr="00000000" w14:paraId="00000456">
      <w:pPr>
        <w:widowControl w:val="1"/>
        <w:shd w:fill="ffffff" w:val="clear"/>
        <w:spacing w:line="259"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Aprobó: José Mauricio Barragán Moreno – Asesor Despacho</w:t>
      </w:r>
    </w:p>
    <w:sectPr>
      <w:headerReference r:id="rId52" w:type="default"/>
      <w:footerReference r:id="rId53" w:type="default"/>
      <w:pgSz w:h="15840" w:w="12240" w:orient="portrait"/>
      <w:pgMar w:bottom="2660" w:top="2400" w:left="1300" w:right="1280" w:header="1096" w:footer="2397"/>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mbria"/>
  <w:font w:name="Georgia"/>
  <w:font w:name="Calibri"/>
  <w:font w:name="Trebuchet MS"/>
  <w:font w:name="Times New Roman"/>
  <w:font w:name="Courier New"/>
  <w:font w:name="Garamond">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Arial Narrow">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oto Sans Symbols">
    <w:embedRegular w:fontKey="{00000000-0000-0000-0000-000000000000}" r:id="rId9" w:subsetted="0"/>
    <w:embedBold w:fontKey="{00000000-0000-0000-0000-000000000000}" r:id="rId1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76">
    <w:pPr>
      <w:keepNext w:val="0"/>
      <w:keepLines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r w:rsidDel="00000000" w:rsidR="00000000" w:rsidRPr="00000000">
      <mc:AlternateContent>
        <mc:Choice Requires="wps">
          <w:drawing>
            <wp:anchor allowOverlap="1" behindDoc="1" distB="0" distT="0" distL="0" distR="0" hidden="0" layoutInCell="1" locked="0" relativeHeight="0" simplePos="0">
              <wp:simplePos x="0" y="0"/>
              <wp:positionH relativeFrom="column">
                <wp:posOffset>1581785</wp:posOffset>
              </wp:positionH>
              <wp:positionV relativeFrom="paragraph">
                <wp:posOffset>8663940</wp:posOffset>
              </wp:positionV>
              <wp:extent cx="12700" cy="762000"/>
              <wp:effectExtent b="0" l="0" r="0" t="0"/>
              <wp:wrapNone/>
              <wp:docPr id="3" name=""/>
              <a:graphic>
                <a:graphicData uri="http://schemas.microsoft.com/office/word/2010/wordprocessingShape">
                  <wps:wsp>
                    <wps:cNvCnPr/>
                    <wps:spPr>
                      <a:xfrm>
                        <a:off x="5346000" y="3399000"/>
                        <a:ext cx="0" cy="762000"/>
                      </a:xfrm>
                      <a:prstGeom prst="straightConnector1">
                        <a:avLst/>
                      </a:prstGeom>
                      <a:noFill/>
                      <a:ln cap="flat" cmpd="sng" w="9525">
                        <a:solidFill>
                          <a:srgbClr val="000000"/>
                        </a:solidFill>
                        <a:prstDash val="solid"/>
                        <a:round/>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1" distB="0" distT="0" distL="0" distR="0" hidden="0" layoutInCell="1" locked="0" relativeHeight="0" simplePos="0">
              <wp:simplePos x="0" y="0"/>
              <wp:positionH relativeFrom="column">
                <wp:posOffset>1581785</wp:posOffset>
              </wp:positionH>
              <wp:positionV relativeFrom="paragraph">
                <wp:posOffset>8663940</wp:posOffset>
              </wp:positionV>
              <wp:extent cx="12700" cy="762000"/>
              <wp:effectExtent b="0" l="0" r="0" t="0"/>
              <wp:wrapNone/>
              <wp:docPr id="3" name="image34.png"/>
              <a:graphic>
                <a:graphicData uri="http://schemas.openxmlformats.org/drawingml/2006/picture">
                  <pic:pic>
                    <pic:nvPicPr>
                      <pic:cNvPr id="0" name="image34.png"/>
                      <pic:cNvPicPr preferRelativeResize="0"/>
                    </pic:nvPicPr>
                    <pic:blipFill>
                      <a:blip r:embed="rId1"/>
                      <a:srcRect/>
                      <a:stretch>
                        <a:fillRect/>
                      </a:stretch>
                    </pic:blipFill>
                    <pic:spPr>
                      <a:xfrm>
                        <a:off x="0" y="0"/>
                        <a:ext cx="12700" cy="762000"/>
                      </a:xfrm>
                      <a:prstGeom prst="rect"/>
                      <a:ln/>
                    </pic:spPr>
                  </pic:pic>
                </a:graphicData>
              </a:graphic>
            </wp:anchor>
          </w:drawing>
        </mc:Fallback>
      </mc:AlternateContent>
    </w:r>
    <w:r w:rsidDel="00000000" w:rsidR="00000000" w:rsidRPr="00000000">
      <mc:AlternateContent>
        <mc:Choice Requires="wpg">
          <w:drawing>
            <wp:anchor allowOverlap="1" behindDoc="1" distB="0" distT="0" distL="0" distR="0" hidden="0" layoutInCell="1" locked="0" relativeHeight="0" simplePos="0">
              <wp:simplePos x="0" y="0"/>
              <wp:positionH relativeFrom="column">
                <wp:posOffset>5405121</wp:posOffset>
              </wp:positionH>
              <wp:positionV relativeFrom="paragraph">
                <wp:posOffset>8335646</wp:posOffset>
              </wp:positionV>
              <wp:extent cx="702945" cy="159385"/>
              <wp:effectExtent b="0" l="0" r="0" t="0"/>
              <wp:wrapNone/>
              <wp:docPr id="4" name=""/>
              <a:graphic>
                <a:graphicData uri="http://schemas.microsoft.com/office/word/2010/wordprocessingShape">
                  <wps:wsp>
                    <wps:cNvSpPr/>
                    <wps:cNvPr id="5" name="Shape 5"/>
                    <wps:spPr>
                      <a:xfrm>
                        <a:off x="5004053" y="3709833"/>
                        <a:ext cx="683895" cy="140335"/>
                      </a:xfrm>
                      <a:prstGeom prst="rect">
                        <a:avLst/>
                      </a:prstGeom>
                      <a:noFill/>
                      <a:ln>
                        <a:noFill/>
                      </a:ln>
                    </wps:spPr>
                    <wps:txbx>
                      <w:txbxContent>
                        <w:p w:rsidR="00000000" w:rsidDel="00000000" w:rsidP="00000000" w:rsidRDefault="00000000" w:rsidRPr="00000000">
                          <w:pPr>
                            <w:spacing w:after="0" w:before="8.999999761581421" w:line="240"/>
                            <w:ind w:left="20" w:right="0" w:firstLine="40"/>
                            <w:jc w:val="left"/>
                            <w:textDirection w:val="btLr"/>
                          </w:pPr>
                          <w:r w:rsidDel="00000000" w:rsidR="00000000" w:rsidRPr="00000000">
                            <w:rPr>
                              <w:rFonts w:ascii="Times New Roman" w:cs="Times New Roman" w:eastAsia="Times New Roman" w:hAnsi="Times New Roman"/>
                              <w:b w:val="0"/>
                              <w:i w:val="0"/>
                              <w:smallCaps w:val="0"/>
                              <w:strike w:val="0"/>
                              <w:color w:val="000000"/>
                              <w:sz w:val="16"/>
                              <w:vertAlign w:val="baseline"/>
                            </w:rPr>
                            <w:t xml:space="preserve">Página  PAGE </w:t>
                          </w:r>
                          <w:r w:rsidDel="00000000" w:rsidR="00000000" w:rsidRPr="00000000">
                            <w:rPr>
                              <w:rFonts w:ascii="Times New Roman" w:cs="Times New Roman" w:eastAsia="Times New Roman" w:hAnsi="Times New Roman"/>
                              <w:b w:val="0"/>
                              <w:i w:val="0"/>
                              <w:smallCaps w:val="0"/>
                              <w:strike w:val="0"/>
                              <w:color w:val="000000"/>
                              <w:sz w:val="22"/>
                              <w:vertAlign w:val="baseline"/>
                            </w:rPr>
                            <w:t xml:space="preserve">33</w:t>
                          </w:r>
                          <w:r w:rsidDel="00000000" w:rsidR="00000000" w:rsidRPr="00000000">
                            <w:rPr>
                              <w:rFonts w:ascii="Times New Roman" w:cs="Times New Roman" w:eastAsia="Times New Roman" w:hAnsi="Times New Roman"/>
                              <w:b w:val="0"/>
                              <w:i w:val="0"/>
                              <w:smallCaps w:val="0"/>
                              <w:strike w:val="0"/>
                              <w:color w:val="000000"/>
                              <w:sz w:val="16"/>
                              <w:vertAlign w:val="baseline"/>
                            </w:rPr>
                            <w:t xml:space="preserve"> de 45</w:t>
                          </w:r>
                        </w:p>
                      </w:txbxContent>
                    </wps:txbx>
                    <wps:bodyPr anchorCtr="0" anchor="t" bIns="0" lIns="0" spcFirstLastPara="1" rIns="0" wrap="square" tIns="0">
                      <a:noAutofit/>
                    </wps:bodyPr>
                  </wps:wsp>
                </a:graphicData>
              </a:graphic>
            </wp:anchor>
          </w:drawing>
        </mc:Choice>
        <mc:Fallback>
          <w:drawing>
            <wp:anchor allowOverlap="1" behindDoc="1" distB="0" distT="0" distL="0" distR="0" hidden="0" layoutInCell="1" locked="0" relativeHeight="0" simplePos="0">
              <wp:simplePos x="0" y="0"/>
              <wp:positionH relativeFrom="column">
                <wp:posOffset>5405121</wp:posOffset>
              </wp:positionH>
              <wp:positionV relativeFrom="paragraph">
                <wp:posOffset>8335646</wp:posOffset>
              </wp:positionV>
              <wp:extent cx="702945" cy="159385"/>
              <wp:effectExtent b="0" l="0" r="0" t="0"/>
              <wp:wrapNone/>
              <wp:docPr id="4" name="image35.png"/>
              <a:graphic>
                <a:graphicData uri="http://schemas.openxmlformats.org/drawingml/2006/picture">
                  <pic:pic>
                    <pic:nvPicPr>
                      <pic:cNvPr id="0" name="image35.png"/>
                      <pic:cNvPicPr preferRelativeResize="0"/>
                    </pic:nvPicPr>
                    <pic:blipFill>
                      <a:blip r:embed="rId1"/>
                      <a:srcRect/>
                      <a:stretch>
                        <a:fillRect/>
                      </a:stretch>
                    </pic:blipFill>
                    <pic:spPr>
                      <a:xfrm>
                        <a:off x="0" y="0"/>
                        <a:ext cx="702945" cy="159385"/>
                      </a:xfrm>
                      <a:prstGeom prst="rect"/>
                      <a:ln/>
                    </pic:spPr>
                  </pic:pic>
                </a:graphicData>
              </a:graphic>
            </wp:anchor>
          </w:drawing>
        </mc:Fallback>
      </mc:AlternateContent>
    </w:r>
    <w:r w:rsidDel="00000000" w:rsidR="00000000" w:rsidRPr="00000000">
      <mc:AlternateContent>
        <mc:Choice Requires="wpg">
          <w:drawing>
            <wp:anchor allowOverlap="1" behindDoc="1" distB="0" distT="0" distL="0" distR="0" hidden="0" layoutInCell="1" locked="0" relativeHeight="0" simplePos="0">
              <wp:simplePos x="0" y="0"/>
              <wp:positionH relativeFrom="column">
                <wp:posOffset>-42542</wp:posOffset>
              </wp:positionH>
              <wp:positionV relativeFrom="paragraph">
                <wp:posOffset>8623936</wp:posOffset>
              </wp:positionV>
              <wp:extent cx="2160270" cy="803910"/>
              <wp:effectExtent b="0" l="0" r="0" t="0"/>
              <wp:wrapNone/>
              <wp:docPr id="5" name=""/>
              <a:graphic>
                <a:graphicData uri="http://schemas.microsoft.com/office/word/2010/wordprocessingShape">
                  <wps:wsp>
                    <wps:cNvSpPr/>
                    <wps:cNvPr id="6" name="Shape 6"/>
                    <wps:spPr>
                      <a:xfrm>
                        <a:off x="4275390" y="3387570"/>
                        <a:ext cx="2141220" cy="784860"/>
                      </a:xfrm>
                      <a:prstGeom prst="rect">
                        <a:avLst/>
                      </a:prstGeom>
                      <a:noFill/>
                      <a:ln>
                        <a:noFill/>
                      </a:ln>
                    </wps:spPr>
                    <wps:txbx>
                      <w:txbxContent>
                        <w:p w:rsidR="00000000" w:rsidDel="00000000" w:rsidP="00000000" w:rsidRDefault="00000000" w:rsidRPr="00000000">
                          <w:pPr>
                            <w:spacing w:after="0" w:before="0" w:line="240"/>
                            <w:ind w:left="20" w:right="648.0000305175781" w:firstLine="40"/>
                            <w:jc w:val="left"/>
                            <w:textDirection w:val="btLr"/>
                          </w:pPr>
                        </w:p>
                        <w:p w:rsidR="00000000" w:rsidDel="00000000" w:rsidP="00000000" w:rsidRDefault="00000000" w:rsidRPr="00000000">
                          <w:pPr>
                            <w:spacing w:after="0" w:before="0" w:line="240"/>
                            <w:ind w:left="20" w:right="648.0000305175781" w:firstLine="40"/>
                            <w:jc w:val="left"/>
                            <w:textDirection w:val="btLr"/>
                          </w:pPr>
                          <w:r w:rsidDel="00000000" w:rsidR="00000000" w:rsidRPr="00000000">
                            <w:rPr>
                              <w:rFonts w:ascii="Arial" w:cs="Arial" w:eastAsia="Arial" w:hAnsi="Arial"/>
                              <w:b w:val="0"/>
                              <w:i w:val="0"/>
                              <w:smallCaps w:val="0"/>
                              <w:strike w:val="0"/>
                              <w:color w:val="000000"/>
                              <w:sz w:val="28"/>
                              <w:vertAlign w:val="baseline"/>
                            </w:rPr>
                          </w:r>
                          <w:r w:rsidDel="00000000" w:rsidR="00000000" w:rsidRPr="00000000">
                            <w:rPr>
                              <w:rFonts w:ascii="Arial" w:cs="Arial" w:eastAsia="Arial" w:hAnsi="Arial"/>
                              <w:b w:val="1"/>
                              <w:i w:val="0"/>
                              <w:smallCaps w:val="0"/>
                              <w:strike w:val="0"/>
                              <w:color w:val="000000"/>
                              <w:sz w:val="16"/>
                              <w:vertAlign w:val="baseline"/>
                            </w:rPr>
                            <w:t xml:space="preserve">Alcaldía Local de San Cristóbal</w:t>
                          </w:r>
                        </w:p>
                        <w:p w:rsidR="00000000" w:rsidDel="00000000" w:rsidP="00000000" w:rsidRDefault="00000000" w:rsidRPr="00000000">
                          <w:pPr>
                            <w:spacing w:after="0" w:before="0" w:line="240"/>
                            <w:ind w:left="20" w:right="648.0000305175781" w:firstLine="40"/>
                            <w:jc w:val="left"/>
                            <w:textDirection w:val="btLr"/>
                          </w:pPr>
                          <w:r w:rsidDel="00000000" w:rsidR="00000000" w:rsidRPr="00000000">
                            <w:rPr>
                              <w:rFonts w:ascii="Arial" w:cs="Arial" w:eastAsia="Arial" w:hAnsi="Arial"/>
                              <w:b w:val="1"/>
                              <w:i w:val="0"/>
                              <w:smallCaps w:val="0"/>
                              <w:strike w:val="0"/>
                              <w:color w:val="000000"/>
                              <w:sz w:val="16"/>
                              <w:vertAlign w:val="baseline"/>
                            </w:rPr>
                          </w:r>
                          <w:r w:rsidDel="00000000" w:rsidR="00000000" w:rsidRPr="00000000">
                            <w:rPr>
                              <w:rFonts w:ascii="Arial" w:cs="Arial" w:eastAsia="Arial" w:hAnsi="Arial"/>
                              <w:b w:val="1"/>
                              <w:i w:val="0"/>
                              <w:smallCaps w:val="0"/>
                              <w:strike w:val="0"/>
                              <w:color w:val="000000"/>
                              <w:sz w:val="16"/>
                              <w:vertAlign w:val="baseline"/>
                            </w:rPr>
                            <w:t xml:space="preserve">Avenida 1 de Mayo No. 1 - 40 Sur</w:t>
                          </w:r>
                        </w:p>
                        <w:p w:rsidR="00000000" w:rsidDel="00000000" w:rsidP="00000000" w:rsidRDefault="00000000" w:rsidRPr="00000000">
                          <w:pPr>
                            <w:spacing w:after="0" w:before="0" w:line="240"/>
                            <w:ind w:left="20" w:right="648.0000305175781" w:firstLine="40"/>
                            <w:jc w:val="left"/>
                            <w:textDirection w:val="btLr"/>
                          </w:pPr>
                          <w:r w:rsidDel="00000000" w:rsidR="00000000" w:rsidRPr="00000000">
                            <w:rPr>
                              <w:rFonts w:ascii="Arial" w:cs="Arial" w:eastAsia="Arial" w:hAnsi="Arial"/>
                              <w:b w:val="1"/>
                              <w:i w:val="0"/>
                              <w:smallCaps w:val="0"/>
                              <w:strike w:val="0"/>
                              <w:color w:val="000000"/>
                              <w:sz w:val="16"/>
                              <w:vertAlign w:val="baseline"/>
                            </w:rPr>
                          </w:r>
                          <w:r w:rsidDel="00000000" w:rsidR="00000000" w:rsidRPr="00000000">
                            <w:rPr>
                              <w:rFonts w:ascii="Arial" w:cs="Arial" w:eastAsia="Arial" w:hAnsi="Arial"/>
                              <w:b w:val="1"/>
                              <w:i w:val="0"/>
                              <w:smallCaps w:val="0"/>
                              <w:strike w:val="0"/>
                              <w:color w:val="000000"/>
                              <w:sz w:val="16"/>
                              <w:vertAlign w:val="baseline"/>
                            </w:rPr>
                            <w:t xml:space="preserve">Código Postal: 110421</w:t>
                          </w:r>
                        </w:p>
                        <w:p w:rsidR="00000000" w:rsidDel="00000000" w:rsidP="00000000" w:rsidRDefault="00000000" w:rsidRPr="00000000">
                          <w:pPr>
                            <w:spacing w:after="0" w:before="0" w:line="240"/>
                            <w:ind w:left="20" w:right="648.0000305175781" w:firstLine="40"/>
                            <w:jc w:val="left"/>
                            <w:textDirection w:val="btLr"/>
                          </w:pPr>
                          <w:r w:rsidDel="00000000" w:rsidR="00000000" w:rsidRPr="00000000">
                            <w:rPr>
                              <w:rFonts w:ascii="Arial" w:cs="Arial" w:eastAsia="Arial" w:hAnsi="Arial"/>
                              <w:b w:val="1"/>
                              <w:i w:val="0"/>
                              <w:smallCaps w:val="0"/>
                              <w:strike w:val="0"/>
                              <w:color w:val="000000"/>
                              <w:sz w:val="16"/>
                              <w:vertAlign w:val="baseline"/>
                            </w:rPr>
                          </w:r>
                          <w:r w:rsidDel="00000000" w:rsidR="00000000" w:rsidRPr="00000000">
                            <w:rPr>
                              <w:rFonts w:ascii="Arial" w:cs="Arial" w:eastAsia="Arial" w:hAnsi="Arial"/>
                              <w:b w:val="1"/>
                              <w:i w:val="0"/>
                              <w:smallCaps w:val="0"/>
                              <w:strike w:val="0"/>
                              <w:color w:val="000000"/>
                              <w:sz w:val="16"/>
                              <w:vertAlign w:val="baseline"/>
                            </w:rPr>
                            <w:t xml:space="preserve">Tel. 57 (601) 382 06 </w:t>
                          </w:r>
                        </w:p>
                      </w:txbxContent>
                    </wps:txbx>
                    <wps:bodyPr anchorCtr="0" anchor="t" bIns="0" lIns="0" spcFirstLastPara="1" rIns="0" wrap="square" tIns="0">
                      <a:noAutofit/>
                    </wps:bodyPr>
                  </wps:wsp>
                </a:graphicData>
              </a:graphic>
            </wp:anchor>
          </w:drawing>
        </mc:Choice>
        <mc:Fallback>
          <w:drawing>
            <wp:anchor allowOverlap="1" behindDoc="1" distB="0" distT="0" distL="0" distR="0" hidden="0" layoutInCell="1" locked="0" relativeHeight="0" simplePos="0">
              <wp:simplePos x="0" y="0"/>
              <wp:positionH relativeFrom="column">
                <wp:posOffset>-42542</wp:posOffset>
              </wp:positionH>
              <wp:positionV relativeFrom="paragraph">
                <wp:posOffset>8623936</wp:posOffset>
              </wp:positionV>
              <wp:extent cx="2160270" cy="803910"/>
              <wp:effectExtent b="0" l="0" r="0" t="0"/>
              <wp:wrapNone/>
              <wp:docPr id="5" name="image36.png"/>
              <a:graphic>
                <a:graphicData uri="http://schemas.openxmlformats.org/drawingml/2006/picture">
                  <pic:pic>
                    <pic:nvPicPr>
                      <pic:cNvPr id="0" name="image36.png"/>
                      <pic:cNvPicPr preferRelativeResize="0"/>
                    </pic:nvPicPr>
                    <pic:blipFill>
                      <a:blip r:embed="rId1"/>
                      <a:srcRect/>
                      <a:stretch>
                        <a:fillRect/>
                      </a:stretch>
                    </pic:blipFill>
                    <pic:spPr>
                      <a:xfrm>
                        <a:off x="0" y="0"/>
                        <a:ext cx="2160270" cy="803910"/>
                      </a:xfrm>
                      <a:prstGeom prst="rect"/>
                      <a:ln/>
                    </pic:spPr>
                  </pic:pic>
                </a:graphicData>
              </a:graphic>
            </wp:anchor>
          </w:drawing>
        </mc:Fallback>
      </mc:AlternateContent>
    </w:r>
    <w:r w:rsidDel="00000000" w:rsidR="00000000" w:rsidRPr="00000000">
      <w:drawing>
        <wp:anchor allowOverlap="1" behindDoc="1" distB="0" distT="0" distL="0" distR="0" hidden="0" layoutInCell="1" locked="0" relativeHeight="0" simplePos="0">
          <wp:simplePos x="0" y="0"/>
          <wp:positionH relativeFrom="column">
            <wp:posOffset>5439409</wp:posOffset>
          </wp:positionH>
          <wp:positionV relativeFrom="paragraph">
            <wp:posOffset>323570</wp:posOffset>
          </wp:positionV>
          <wp:extent cx="647699" cy="644525"/>
          <wp:effectExtent b="0" l="0" r="0" t="0"/>
          <wp:wrapNone/>
          <wp:docPr id="22" name="image17.png"/>
          <a:graphic>
            <a:graphicData uri="http://schemas.openxmlformats.org/drawingml/2006/picture">
              <pic:pic>
                <pic:nvPicPr>
                  <pic:cNvPr id="0" name="image17.png"/>
                  <pic:cNvPicPr preferRelativeResize="0"/>
                </pic:nvPicPr>
                <pic:blipFill>
                  <a:blip r:embed="rId2"/>
                  <a:srcRect b="0" l="0" r="0" t="0"/>
                  <a:stretch>
                    <a:fillRect/>
                  </a:stretch>
                </pic:blipFill>
                <pic:spPr>
                  <a:xfrm>
                    <a:off x="0" y="0"/>
                    <a:ext cx="647699" cy="644525"/>
                  </a:xfrm>
                  <a:prstGeom prst="rect"/>
                  <a:ln/>
                </pic:spPr>
              </pic:pic>
            </a:graphicData>
          </a:graphic>
        </wp:anchor>
      </w:drawing>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otnote w:id="0">
    <w:p w:rsidR="00000000" w:rsidDel="00000000" w:rsidP="00000000" w:rsidRDefault="00000000" w:rsidRPr="00000000" w14:paraId="0000045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bCs w:val="0"/>
          <w:i w:val="0"/>
          <w:iCs w:val="0"/>
          <w:smallCaps w:val="0"/>
          <w:strike w:val="0"/>
          <w:color w:val="000000"/>
          <w:sz w:val="16"/>
          <w:szCs w:val="16"/>
          <w:u w:val="none"/>
          <w:shd w:fill="auto" w:val="clear"/>
          <w:vertAlign w:val="baseline"/>
        </w:rPr>
      </w:pPr>
      <w:r w:rsidDel="00000000" w:rsidR="00000000" w:rsidRPr="00000000">
        <w:rPr>
          <w:rStyle w:val="FootnoteReference"/>
          <w:vertAlign w:val="superscript"/>
        </w:rPr>
        <w:footnoteRef/>
      </w:r>
      <w:r w:rsidDel="00000000" w:rsidR="00000000" w:rsidRPr="00000000">
        <w:rPr>
          <w:rtl w:val="0"/>
        </w:rPr>
      </w:r>
    </w:p>
  </w:footnote>
  <w:footnote w:id="1">
    <w:p w:rsidR="00000000" w:rsidDel="00000000" w:rsidP="00000000" w:rsidRDefault="00000000" w:rsidRPr="00000000" w14:paraId="0000045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bCs w:val="0"/>
          <w:i w:val="0"/>
          <w:iCs w:val="0"/>
          <w:smallCaps w:val="0"/>
          <w:strike w:val="0"/>
          <w:color w:val="000000"/>
          <w:sz w:val="16"/>
          <w:szCs w:val="16"/>
          <w:u w:val="none"/>
          <w:shd w:fill="auto" w:val="clear"/>
          <w:vertAlign w:val="baseline"/>
        </w:rPr>
      </w:pPr>
      <w:r w:rsidDel="00000000" w:rsidR="00000000" w:rsidRPr="00000000">
        <w:rPr>
          <w:rStyle w:val="FootnoteReference"/>
          <w:vertAlign w:val="superscript"/>
        </w:rPr>
        <w:footnoteRef/>
      </w:r>
      <w:r w:rsidDel="00000000" w:rsidR="00000000" w:rsidRPr="00000000">
        <w:rPr>
          <w:rFonts w:ascii="Garamond" w:cs="Garamond" w:eastAsia="Garamond" w:hAnsi="Garamond"/>
          <w:b w:val="0"/>
          <w:bCs w:val="0"/>
          <w:i w:val="0"/>
          <w:iCs w:val="0"/>
          <w:smallCaps w:val="0"/>
          <w:strike w:val="0"/>
          <w:color w:val="000000"/>
          <w:sz w:val="16"/>
          <w:szCs w:val="16"/>
          <w:u w:val="none"/>
          <w:shd w:fill="auto" w:val="clear"/>
          <w:vertAlign w:val="baseline"/>
          <w:rtl w:val="0"/>
        </w:rPr>
        <w:t xml:space="preserve"> Informe Trimestral de Dinámica Sectorial. Versión electrónica disponible en el link: </w:t>
      </w:r>
      <w:hyperlink r:id="rId1">
        <w:r w:rsidDel="00000000" w:rsidR="00000000" w:rsidRPr="00000000">
          <w:rPr>
            <w:rFonts w:ascii="Garamond" w:cs="Garamond" w:eastAsia="Garamond" w:hAnsi="Garamond"/>
            <w:b w:val="0"/>
            <w:bCs w:val="0"/>
            <w:i w:val="0"/>
            <w:iCs w:val="0"/>
            <w:smallCaps w:val="0"/>
            <w:strike w:val="0"/>
            <w:color w:val="0000ff"/>
            <w:sz w:val="16"/>
            <w:szCs w:val="16"/>
            <w:u w:val="single"/>
            <w:shd w:fill="auto" w:val="clear"/>
            <w:vertAlign w:val="baseline"/>
            <w:rtl w:val="0"/>
          </w:rPr>
          <w:t xml:space="preserve">https://investigaciones.corfi.com/analisis-sectorial-y-sostenibilidad/perspectiva-sectorial-servicos/sector-servicios/informe_1506613</w:t>
        </w:r>
      </w:hyperlink>
      <w:r w:rsidDel="00000000" w:rsidR="00000000" w:rsidRPr="00000000">
        <w:rPr>
          <w:rFonts w:ascii="Garamond" w:cs="Garamond" w:eastAsia="Garamond" w:hAnsi="Garamond"/>
          <w:b w:val="0"/>
          <w:bCs w:val="0"/>
          <w:i w:val="0"/>
          <w:iCs w:val="0"/>
          <w:smallCaps w:val="0"/>
          <w:strike w:val="0"/>
          <w:color w:val="000000"/>
          <w:sz w:val="16"/>
          <w:szCs w:val="16"/>
          <w:u w:val="none"/>
          <w:shd w:fill="auto" w:val="clear"/>
          <w:vertAlign w:val="baseline"/>
          <w:rtl w:val="0"/>
        </w:rPr>
        <w:t xml:space="preserve">  consultada el 02/06/2025</w:t>
      </w:r>
    </w:p>
  </w:footnote>
  <w:footnote w:id="2">
    <w:p w:rsidR="00000000" w:rsidDel="00000000" w:rsidP="00000000" w:rsidRDefault="00000000" w:rsidRPr="00000000" w14:paraId="0000045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bCs w:val="0"/>
          <w:i w:val="0"/>
          <w:iCs w:val="0"/>
          <w:smallCaps w:val="0"/>
          <w:strike w:val="0"/>
          <w:color w:val="000000"/>
          <w:sz w:val="16"/>
          <w:szCs w:val="16"/>
          <w:u w:val="none"/>
          <w:shd w:fill="auto" w:val="clear"/>
          <w:vertAlign w:val="baseline"/>
        </w:rPr>
      </w:pPr>
      <w:r w:rsidDel="00000000" w:rsidR="00000000" w:rsidRPr="00000000">
        <w:rPr>
          <w:rStyle w:val="FootnoteReference"/>
          <w:vertAlign w:val="superscript"/>
        </w:rPr>
        <w:footnoteRef/>
      </w:r>
      <w:r w:rsidDel="00000000" w:rsidR="00000000" w:rsidRPr="00000000">
        <w:rPr>
          <w:rFonts w:ascii="Garamond" w:cs="Garamond" w:eastAsia="Garamond" w:hAnsi="Garamond"/>
          <w:b w:val="0"/>
          <w:bCs w:val="0"/>
          <w:i w:val="0"/>
          <w:iCs w:val="0"/>
          <w:smallCaps w:val="0"/>
          <w:strike w:val="0"/>
          <w:color w:val="000000"/>
          <w:sz w:val="16"/>
          <w:szCs w:val="16"/>
          <w:u w:val="none"/>
          <w:shd w:fill="auto" w:val="clear"/>
          <w:vertAlign w:val="baseline"/>
          <w:rtl w:val="0"/>
        </w:rPr>
        <w:t xml:space="preserve"> Informe Trimestral de Dinámica Sectorial. Versión electrónica disponible en el link: </w:t>
      </w:r>
      <w:hyperlink r:id="rId2">
        <w:r w:rsidDel="00000000" w:rsidR="00000000" w:rsidRPr="00000000">
          <w:rPr>
            <w:rFonts w:ascii="Garamond" w:cs="Garamond" w:eastAsia="Garamond" w:hAnsi="Garamond"/>
            <w:b w:val="0"/>
            <w:bCs w:val="0"/>
            <w:i w:val="0"/>
            <w:iCs w:val="0"/>
            <w:smallCaps w:val="0"/>
            <w:strike w:val="0"/>
            <w:color w:val="0000ff"/>
            <w:sz w:val="16"/>
            <w:szCs w:val="16"/>
            <w:u w:val="single"/>
            <w:shd w:fill="auto" w:val="clear"/>
            <w:vertAlign w:val="baseline"/>
            <w:rtl w:val="0"/>
          </w:rPr>
          <w:t xml:space="preserve">https://investigaciones.corfi.com/analisis-sectorial-y-sostenibilidad/perspectiva-sectorial-servicos/sector-servicios/informe_1506613</w:t>
        </w:r>
      </w:hyperlink>
      <w:r w:rsidDel="00000000" w:rsidR="00000000" w:rsidRPr="00000000">
        <w:rPr>
          <w:rFonts w:ascii="Garamond" w:cs="Garamond" w:eastAsia="Garamond" w:hAnsi="Garamond"/>
          <w:b w:val="0"/>
          <w:bCs w:val="0"/>
          <w:i w:val="0"/>
          <w:iCs w:val="0"/>
          <w:smallCaps w:val="0"/>
          <w:strike w:val="0"/>
          <w:color w:val="000000"/>
          <w:sz w:val="16"/>
          <w:szCs w:val="16"/>
          <w:u w:val="none"/>
          <w:shd w:fill="auto" w:val="clear"/>
          <w:vertAlign w:val="baseline"/>
          <w:rtl w:val="0"/>
        </w:rPr>
        <w:t xml:space="preserve">  consultada el 02/06/2025</w:t>
      </w:r>
    </w:p>
  </w:footnote>
  <w:footnote w:id="3">
    <w:p w:rsidR="00000000" w:rsidDel="00000000" w:rsidP="00000000" w:rsidRDefault="00000000" w:rsidRPr="00000000" w14:paraId="0000045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14"/>
          <w:szCs w:val="14"/>
          <w:u w:val="none"/>
          <w:shd w:fill="auto" w:val="clear"/>
          <w:vertAlign w:val="baseline"/>
        </w:rPr>
      </w:pPr>
      <w:r w:rsidDel="00000000" w:rsidR="00000000" w:rsidRPr="00000000">
        <w:rPr>
          <w:rStyle w:val="FootnoteReference"/>
          <w:vertAlign w:val="superscript"/>
        </w:rPr>
        <w:footnoteRef/>
      </w:r>
      <w:r w:rsidDel="00000000" w:rsidR="00000000" w:rsidRPr="00000000">
        <w:rPr>
          <w:rFonts w:ascii="Calibri" w:cs="Calibri" w:eastAsia="Calibri" w:hAnsi="Calibri"/>
          <w:b w:val="0"/>
          <w:bCs w:val="0"/>
          <w:i w:val="0"/>
          <w:iCs w:val="0"/>
          <w:smallCaps w:val="0"/>
          <w:strike w:val="0"/>
          <w:color w:val="000000"/>
          <w:sz w:val="14"/>
          <w:szCs w:val="14"/>
          <w:u w:val="none"/>
          <w:shd w:fill="auto" w:val="clear"/>
          <w:vertAlign w:val="baseline"/>
          <w:rtl w:val="0"/>
        </w:rPr>
        <w:t xml:space="preserve"> Boletín Técnico Producto Interno Bruto (PIB) </w:t>
      </w:r>
      <w:r w:rsidDel="00000000" w:rsidR="00000000" w:rsidRPr="00000000">
        <w:rPr>
          <w:rFonts w:ascii="Garamond" w:cs="Garamond" w:eastAsia="Garamond" w:hAnsi="Garamond"/>
          <w:b w:val="0"/>
          <w:bCs w:val="0"/>
          <w:i w:val="0"/>
          <w:iCs w:val="0"/>
          <w:smallCaps w:val="0"/>
          <w:strike w:val="0"/>
          <w:color w:val="000000"/>
          <w:sz w:val="16"/>
          <w:szCs w:val="16"/>
          <w:u w:val="none"/>
          <w:shd w:fill="auto" w:val="clear"/>
          <w:vertAlign w:val="baseline"/>
          <w:rtl w:val="0"/>
        </w:rPr>
        <w:t xml:space="preserve">Bruto Trimestral (PIB_T) I trimestre de 2025</w:t>
      </w:r>
      <w:r w:rsidDel="00000000" w:rsidR="00000000" w:rsidRPr="00000000">
        <w:rPr>
          <w:rFonts w:ascii="Garamond" w:cs="Garamond" w:eastAsia="Garamond" w:hAnsi="Garamond"/>
          <w:b w:val="0"/>
          <w:bCs w:val="0"/>
          <w:i w:val="0"/>
          <w:iCs w:val="0"/>
          <w:smallCaps w:val="0"/>
          <w:strike w:val="0"/>
          <w:color w:val="000000"/>
          <w:sz w:val="16"/>
          <w:szCs w:val="16"/>
          <w:u w:val="none"/>
          <w:shd w:fill="auto" w:val="clear"/>
          <w:vertAlign w:val="superscript"/>
          <w:rtl w:val="0"/>
        </w:rPr>
        <w:t xml:space="preserve">pr</w:t>
      </w:r>
      <w:r w:rsidDel="00000000" w:rsidR="00000000" w:rsidRPr="00000000">
        <w:rPr>
          <w:rFonts w:ascii="Calibri" w:cs="Calibri" w:eastAsia="Calibri" w:hAnsi="Calibri"/>
          <w:b w:val="0"/>
          <w:bCs w:val="0"/>
          <w:i w:val="0"/>
          <w:iCs w:val="0"/>
          <w:smallCaps w:val="0"/>
          <w:strike w:val="0"/>
          <w:color w:val="000000"/>
          <w:sz w:val="14"/>
          <w:szCs w:val="14"/>
          <w:u w:val="none"/>
          <w:shd w:fill="auto" w:val="clear"/>
          <w:vertAlign w:val="baseline"/>
          <w:rtl w:val="0"/>
        </w:rPr>
        <w:t xml:space="preserve">. Versión electrónica disponible en el link: </w:t>
      </w:r>
      <w:hyperlink r:id="rId3">
        <w:r w:rsidDel="00000000" w:rsidR="00000000" w:rsidRPr="00000000">
          <w:rPr>
            <w:rFonts w:ascii="Calibri" w:cs="Calibri" w:eastAsia="Calibri" w:hAnsi="Calibri"/>
            <w:b w:val="0"/>
            <w:bCs w:val="0"/>
            <w:i w:val="0"/>
            <w:iCs w:val="0"/>
            <w:smallCaps w:val="0"/>
            <w:strike w:val="0"/>
            <w:color w:val="0000ff"/>
            <w:sz w:val="14"/>
            <w:szCs w:val="14"/>
            <w:u w:val="single"/>
            <w:shd w:fill="auto" w:val="clear"/>
            <w:vertAlign w:val="baseline"/>
            <w:rtl w:val="0"/>
          </w:rPr>
          <w:t xml:space="preserve">https://www.dane.gov.co/index.php/estadisticas-por-tema/cuentas-nacionales/cuentas-nacionales-trimestrales/pib-informacion-tecnica</w:t>
        </w:r>
      </w:hyperlink>
      <w:r w:rsidDel="00000000" w:rsidR="00000000" w:rsidRPr="00000000">
        <w:rPr>
          <w:rFonts w:ascii="Calibri" w:cs="Calibri" w:eastAsia="Calibri" w:hAnsi="Calibri"/>
          <w:b w:val="0"/>
          <w:bCs w:val="0"/>
          <w:i w:val="0"/>
          <w:iCs w:val="0"/>
          <w:smallCaps w:val="0"/>
          <w:strike w:val="0"/>
          <w:color w:val="000000"/>
          <w:sz w:val="14"/>
          <w:szCs w:val="14"/>
          <w:u w:val="none"/>
          <w:shd w:fill="auto" w:val="clear"/>
          <w:vertAlign w:val="baseline"/>
          <w:rtl w:val="0"/>
        </w:rPr>
        <w:t xml:space="preserve"> </w:t>
      </w:r>
      <w:r w:rsidDel="00000000" w:rsidR="00000000" w:rsidRPr="00000000">
        <w:rPr>
          <w:rFonts w:ascii="Arial Narrow" w:cs="Arial Narrow" w:eastAsia="Arial Narrow" w:hAnsi="Arial Narrow"/>
          <w:b w:val="0"/>
          <w:bCs w:val="0"/>
          <w:i w:val="0"/>
          <w:iCs w:val="0"/>
          <w:smallCaps w:val="0"/>
          <w:strike w:val="0"/>
          <w:color w:val="000000"/>
          <w:sz w:val="14"/>
          <w:szCs w:val="14"/>
          <w:u w:val="none"/>
          <w:shd w:fill="auto" w:val="clear"/>
          <w:vertAlign w:val="baseline"/>
          <w:rtl w:val="0"/>
        </w:rPr>
        <w:t xml:space="preserve">consultada el 02/06/2025</w:t>
      </w:r>
      <w:r w:rsidDel="00000000" w:rsidR="00000000" w:rsidRPr="00000000">
        <w:rPr>
          <w:rtl w:val="0"/>
        </w:rPr>
      </w:r>
    </w:p>
  </w:footnote>
  <w:footnote w:id="4">
    <w:p w:rsidR="00000000" w:rsidDel="00000000" w:rsidP="00000000" w:rsidRDefault="00000000" w:rsidRPr="00000000" w14:paraId="0000045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14"/>
          <w:szCs w:val="14"/>
          <w:u w:val="none"/>
          <w:shd w:fill="auto" w:val="clear"/>
          <w:vertAlign w:val="baseline"/>
        </w:rPr>
      </w:pPr>
      <w:r w:rsidDel="00000000" w:rsidR="00000000" w:rsidRPr="00000000">
        <w:rPr>
          <w:rStyle w:val="FootnoteReference"/>
          <w:vertAlign w:val="superscript"/>
        </w:rPr>
        <w:footnoteRef/>
      </w:r>
      <w:r w:rsidDel="00000000" w:rsidR="00000000" w:rsidRPr="00000000">
        <w:rPr>
          <w:rFonts w:ascii="Calibri" w:cs="Calibri" w:eastAsia="Calibri" w:hAnsi="Calibri"/>
          <w:b w:val="0"/>
          <w:bCs w:val="0"/>
          <w:i w:val="0"/>
          <w:iCs w:val="0"/>
          <w:smallCaps w:val="0"/>
          <w:strike w:val="0"/>
          <w:color w:val="000000"/>
          <w:sz w:val="14"/>
          <w:szCs w:val="14"/>
          <w:u w:val="none"/>
          <w:shd w:fill="auto" w:val="clear"/>
          <w:vertAlign w:val="baseline"/>
          <w:rtl w:val="0"/>
        </w:rPr>
        <w:t xml:space="preserve"> Boletín Técnico Producto Interno Bruto (PIB) </w:t>
      </w:r>
      <w:r w:rsidDel="00000000" w:rsidR="00000000" w:rsidRPr="00000000">
        <w:rPr>
          <w:rFonts w:ascii="Garamond" w:cs="Garamond" w:eastAsia="Garamond" w:hAnsi="Garamond"/>
          <w:b w:val="0"/>
          <w:bCs w:val="0"/>
          <w:i w:val="0"/>
          <w:iCs w:val="0"/>
          <w:smallCaps w:val="0"/>
          <w:strike w:val="0"/>
          <w:color w:val="000000"/>
          <w:sz w:val="16"/>
          <w:szCs w:val="16"/>
          <w:u w:val="none"/>
          <w:shd w:fill="auto" w:val="clear"/>
          <w:vertAlign w:val="baseline"/>
          <w:rtl w:val="0"/>
        </w:rPr>
        <w:t xml:space="preserve">Bruto Trimestral (PIB_T) </w:t>
      </w:r>
      <w:r w:rsidDel="00000000" w:rsidR="00000000" w:rsidRPr="00000000">
        <w:rPr>
          <w:rFonts w:ascii="Garamond" w:cs="Garamond" w:eastAsia="Garamond" w:hAnsi="Garamond"/>
          <w:sz w:val="16"/>
          <w:szCs w:val="16"/>
          <w:rtl w:val="0"/>
        </w:rPr>
        <w:t xml:space="preserve">IV</w:t>
      </w:r>
      <w:r w:rsidDel="00000000" w:rsidR="00000000" w:rsidRPr="00000000">
        <w:rPr>
          <w:rFonts w:ascii="Garamond" w:cs="Garamond" w:eastAsia="Garamond" w:hAnsi="Garamond"/>
          <w:b w:val="0"/>
          <w:bCs w:val="0"/>
          <w:i w:val="0"/>
          <w:iCs w:val="0"/>
          <w:smallCaps w:val="0"/>
          <w:strike w:val="0"/>
          <w:color w:val="000000"/>
          <w:sz w:val="16"/>
          <w:szCs w:val="16"/>
          <w:u w:val="none"/>
          <w:shd w:fill="auto" w:val="clear"/>
          <w:vertAlign w:val="baseline"/>
          <w:rtl w:val="0"/>
        </w:rPr>
        <w:t xml:space="preserve"> trimestre de 2025</w:t>
      </w:r>
      <w:r w:rsidDel="00000000" w:rsidR="00000000" w:rsidRPr="00000000">
        <w:rPr>
          <w:rFonts w:ascii="Garamond" w:cs="Garamond" w:eastAsia="Garamond" w:hAnsi="Garamond"/>
          <w:b w:val="0"/>
          <w:bCs w:val="0"/>
          <w:i w:val="0"/>
          <w:iCs w:val="0"/>
          <w:smallCaps w:val="0"/>
          <w:strike w:val="0"/>
          <w:color w:val="000000"/>
          <w:sz w:val="16"/>
          <w:szCs w:val="16"/>
          <w:u w:val="none"/>
          <w:shd w:fill="auto" w:val="clear"/>
          <w:vertAlign w:val="superscript"/>
          <w:rtl w:val="0"/>
        </w:rPr>
        <w:t xml:space="preserve">pr</w:t>
      </w:r>
      <w:r w:rsidDel="00000000" w:rsidR="00000000" w:rsidRPr="00000000">
        <w:rPr>
          <w:rFonts w:ascii="Calibri" w:cs="Calibri" w:eastAsia="Calibri" w:hAnsi="Calibri"/>
          <w:b w:val="0"/>
          <w:bCs w:val="0"/>
          <w:i w:val="0"/>
          <w:iCs w:val="0"/>
          <w:smallCaps w:val="0"/>
          <w:strike w:val="0"/>
          <w:color w:val="000000"/>
          <w:sz w:val="14"/>
          <w:szCs w:val="14"/>
          <w:u w:val="none"/>
          <w:shd w:fill="auto" w:val="clear"/>
          <w:vertAlign w:val="baseline"/>
          <w:rtl w:val="0"/>
        </w:rPr>
        <w:t xml:space="preserve">. Versión electrónica disponible en el link: </w:t>
      </w:r>
      <w:hyperlink r:id="rId4">
        <w:r w:rsidDel="00000000" w:rsidR="00000000" w:rsidRPr="00000000">
          <w:rPr>
            <w:rFonts w:ascii="Calibri" w:cs="Calibri" w:eastAsia="Calibri" w:hAnsi="Calibri"/>
            <w:b w:val="0"/>
            <w:bCs w:val="0"/>
            <w:i w:val="0"/>
            <w:iCs w:val="0"/>
            <w:smallCaps w:val="0"/>
            <w:strike w:val="0"/>
            <w:color w:val="0000ff"/>
            <w:sz w:val="14"/>
            <w:szCs w:val="14"/>
            <w:u w:val="single"/>
            <w:shd w:fill="auto" w:val="clear"/>
            <w:vertAlign w:val="baseline"/>
            <w:rtl w:val="0"/>
          </w:rPr>
          <w:t xml:space="preserve">https://www.dane.gov.co/index.php/estadisticas-por-tema/cuentas-nacionales/cuentas-nacionales-trimestrales/pib-informacion-tecnica</w:t>
        </w:r>
      </w:hyperlink>
      <w:r w:rsidDel="00000000" w:rsidR="00000000" w:rsidRPr="00000000">
        <w:rPr>
          <w:rFonts w:ascii="Calibri" w:cs="Calibri" w:eastAsia="Calibri" w:hAnsi="Calibri"/>
          <w:b w:val="0"/>
          <w:bCs w:val="0"/>
          <w:i w:val="0"/>
          <w:iCs w:val="0"/>
          <w:smallCaps w:val="0"/>
          <w:strike w:val="0"/>
          <w:color w:val="000000"/>
          <w:sz w:val="14"/>
          <w:szCs w:val="14"/>
          <w:u w:val="none"/>
          <w:shd w:fill="auto" w:val="clear"/>
          <w:vertAlign w:val="baseline"/>
          <w:rtl w:val="0"/>
        </w:rPr>
        <w:t xml:space="preserve"> </w:t>
      </w:r>
    </w:p>
  </w:footnote>
  <w:footnote w:id="5">
    <w:p w:rsidR="00000000" w:rsidDel="00000000" w:rsidP="00000000" w:rsidRDefault="00000000" w:rsidRPr="00000000" w14:paraId="0000045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14"/>
          <w:szCs w:val="14"/>
          <w:u w:val="none"/>
          <w:shd w:fill="auto" w:val="clear"/>
          <w:vertAlign w:val="baseline"/>
        </w:rPr>
      </w:pPr>
      <w:r w:rsidDel="00000000" w:rsidR="00000000" w:rsidRPr="00000000">
        <w:rPr>
          <w:rStyle w:val="FootnoteReference"/>
          <w:vertAlign w:val="superscript"/>
        </w:rPr>
        <w:footnoteRef/>
      </w:r>
      <w:r w:rsidDel="00000000" w:rsidR="00000000" w:rsidRPr="00000000">
        <w:rPr>
          <w:rFonts w:ascii="Calibri" w:cs="Calibri" w:eastAsia="Calibri" w:hAnsi="Calibri"/>
          <w:b w:val="0"/>
          <w:bCs w:val="0"/>
          <w:i w:val="0"/>
          <w:iCs w:val="0"/>
          <w:smallCaps w:val="0"/>
          <w:strike w:val="0"/>
          <w:color w:val="000000"/>
          <w:sz w:val="14"/>
          <w:szCs w:val="14"/>
          <w:u w:val="none"/>
          <w:shd w:fill="auto" w:val="clear"/>
          <w:vertAlign w:val="baseline"/>
          <w:rtl w:val="0"/>
        </w:rPr>
        <w:t xml:space="preserve"> Boletín Técnico Producto Interno Bruto (PIB) </w:t>
      </w:r>
      <w:r w:rsidDel="00000000" w:rsidR="00000000" w:rsidRPr="00000000">
        <w:rPr>
          <w:rFonts w:ascii="Garamond" w:cs="Garamond" w:eastAsia="Garamond" w:hAnsi="Garamond"/>
          <w:b w:val="0"/>
          <w:bCs w:val="0"/>
          <w:i w:val="0"/>
          <w:iCs w:val="0"/>
          <w:smallCaps w:val="0"/>
          <w:strike w:val="0"/>
          <w:color w:val="000000"/>
          <w:sz w:val="16"/>
          <w:szCs w:val="16"/>
          <w:u w:val="none"/>
          <w:shd w:fill="auto" w:val="clear"/>
          <w:vertAlign w:val="baseline"/>
          <w:rtl w:val="0"/>
        </w:rPr>
        <w:t xml:space="preserve">Bruto Trimestral (PIB_T) I trimestre de 202</w:t>
      </w:r>
      <w:r w:rsidDel="00000000" w:rsidR="00000000" w:rsidRPr="00000000">
        <w:rPr>
          <w:rFonts w:ascii="Garamond" w:cs="Garamond" w:eastAsia="Garamond" w:hAnsi="Garamond"/>
          <w:sz w:val="16"/>
          <w:szCs w:val="16"/>
          <w:rtl w:val="0"/>
        </w:rPr>
        <w:t xml:space="preserve">6</w:t>
      </w:r>
      <w:r w:rsidDel="00000000" w:rsidR="00000000" w:rsidRPr="00000000">
        <w:rPr>
          <w:rFonts w:ascii="Garamond" w:cs="Garamond" w:eastAsia="Garamond" w:hAnsi="Garamond"/>
          <w:b w:val="0"/>
          <w:bCs w:val="0"/>
          <w:i w:val="0"/>
          <w:iCs w:val="0"/>
          <w:smallCaps w:val="0"/>
          <w:strike w:val="0"/>
          <w:color w:val="000000"/>
          <w:sz w:val="16"/>
          <w:szCs w:val="16"/>
          <w:u w:val="none"/>
          <w:shd w:fill="auto" w:val="clear"/>
          <w:vertAlign w:val="superscript"/>
          <w:rtl w:val="0"/>
        </w:rPr>
        <w:t xml:space="preserve">pr</w:t>
      </w:r>
      <w:r w:rsidDel="00000000" w:rsidR="00000000" w:rsidRPr="00000000">
        <w:rPr>
          <w:rFonts w:ascii="Calibri" w:cs="Calibri" w:eastAsia="Calibri" w:hAnsi="Calibri"/>
          <w:b w:val="0"/>
          <w:bCs w:val="0"/>
          <w:i w:val="0"/>
          <w:iCs w:val="0"/>
          <w:smallCaps w:val="0"/>
          <w:strike w:val="0"/>
          <w:color w:val="000000"/>
          <w:sz w:val="14"/>
          <w:szCs w:val="14"/>
          <w:u w:val="none"/>
          <w:shd w:fill="auto" w:val="clear"/>
          <w:vertAlign w:val="baseline"/>
          <w:rtl w:val="0"/>
        </w:rPr>
        <w:t xml:space="preserve">. Versión electrónica disponible en el link: </w:t>
      </w:r>
      <w:hyperlink r:id="rId5">
        <w:r w:rsidDel="00000000" w:rsidR="00000000" w:rsidRPr="00000000">
          <w:rPr>
            <w:rFonts w:ascii="Calibri" w:cs="Calibri" w:eastAsia="Calibri" w:hAnsi="Calibri"/>
            <w:b w:val="0"/>
            <w:bCs w:val="0"/>
            <w:i w:val="0"/>
            <w:iCs w:val="0"/>
            <w:smallCaps w:val="0"/>
            <w:strike w:val="0"/>
            <w:color w:val="0000ff"/>
            <w:sz w:val="14"/>
            <w:szCs w:val="14"/>
            <w:u w:val="single"/>
            <w:shd w:fill="auto" w:val="clear"/>
            <w:vertAlign w:val="baseline"/>
            <w:rtl w:val="0"/>
          </w:rPr>
          <w:t xml:space="preserve">https://www.dane.gov.co/index.php/estadisticas-por-tema/cuentas-nacionales/cuentas-nacionales-trimestrales/pib-informacion-tecnica</w:t>
        </w:r>
      </w:hyperlink>
      <w:r w:rsidDel="00000000" w:rsidR="00000000" w:rsidRPr="00000000">
        <w:rPr>
          <w:rFonts w:ascii="Calibri" w:cs="Calibri" w:eastAsia="Calibri" w:hAnsi="Calibri"/>
          <w:b w:val="0"/>
          <w:bCs w:val="0"/>
          <w:i w:val="0"/>
          <w:iCs w:val="0"/>
          <w:smallCaps w:val="0"/>
          <w:strike w:val="0"/>
          <w:color w:val="000000"/>
          <w:sz w:val="14"/>
          <w:szCs w:val="14"/>
          <w:u w:val="none"/>
          <w:shd w:fill="auto" w:val="clear"/>
          <w:vertAlign w:val="baseline"/>
          <w:rtl w:val="0"/>
        </w:rPr>
        <w:t xml:space="preserve"> </w:t>
      </w:r>
    </w:p>
  </w:footnote>
  <w:footnote w:id="6">
    <w:p w:rsidR="00000000" w:rsidDel="00000000" w:rsidP="00000000" w:rsidRDefault="00000000" w:rsidRPr="00000000" w14:paraId="0000045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bCs w:val="0"/>
          <w:i w:val="0"/>
          <w:iCs w:val="0"/>
          <w:smallCaps w:val="0"/>
          <w:strike w:val="0"/>
          <w:color w:val="000000"/>
          <w:sz w:val="16"/>
          <w:szCs w:val="16"/>
          <w:u w:val="none"/>
          <w:shd w:fill="auto" w:val="clear"/>
          <w:vertAlign w:val="superscript"/>
        </w:rPr>
      </w:pPr>
      <w:r w:rsidDel="00000000" w:rsidR="00000000" w:rsidRPr="00000000">
        <w:rPr>
          <w:rStyle w:val="FootnoteReference"/>
          <w:vertAlign w:val="superscript"/>
        </w:rPr>
        <w:footnoteRef/>
      </w:r>
      <w:r w:rsidDel="00000000" w:rsidR="00000000" w:rsidRPr="00000000">
        <w:rPr>
          <w:rtl w:val="0"/>
        </w:rPr>
      </w:r>
    </w:p>
  </w:footnote>
  <w:footnote w:id="7">
    <w:p w:rsidR="00000000" w:rsidDel="00000000" w:rsidP="00000000" w:rsidRDefault="00000000" w:rsidRPr="00000000" w14:paraId="0000045E">
      <w:pPr>
        <w:rPr>
          <w:rFonts w:ascii="Calibri" w:cs="Calibri" w:eastAsia="Calibri" w:hAnsi="Calibri"/>
          <w:sz w:val="14"/>
          <w:szCs w:val="14"/>
        </w:rPr>
      </w:pPr>
      <w:r w:rsidDel="00000000" w:rsidR="00000000" w:rsidRPr="00000000">
        <w:rPr>
          <w:rStyle w:val="FootnoteReference"/>
          <w:vertAlign w:val="superscript"/>
        </w:rPr>
        <w:footnoteRef/>
      </w:r>
      <w:r w:rsidDel="00000000" w:rsidR="00000000" w:rsidRPr="00000000">
        <w:rPr>
          <w:rFonts w:ascii="Calibri" w:cs="Calibri" w:eastAsia="Calibri" w:hAnsi="Calibri"/>
          <w:sz w:val="14"/>
          <w:szCs w:val="14"/>
          <w:rtl w:val="0"/>
        </w:rPr>
        <w:t xml:space="preserve"> Banco de la Republica - Boletín de Indicadores Económicos. Versión electrónica disponible en el link:  </w:t>
      </w:r>
      <w:hyperlink r:id="rId6">
        <w:r w:rsidDel="00000000" w:rsidR="00000000" w:rsidRPr="00000000">
          <w:rPr>
            <w:rFonts w:ascii="Calibri" w:cs="Calibri" w:eastAsia="Calibri" w:hAnsi="Calibri"/>
            <w:color w:val="0000ff"/>
            <w:sz w:val="14"/>
            <w:szCs w:val="14"/>
            <w:u w:val="single"/>
            <w:rtl w:val="0"/>
          </w:rPr>
          <w:t xml:space="preserve">https://www.banrep.gov.co/en/node/29194</w:t>
        </w:r>
      </w:hyperlink>
      <w:r w:rsidDel="00000000" w:rsidR="00000000" w:rsidRPr="00000000">
        <w:rPr>
          <w:rFonts w:ascii="Calibri" w:cs="Calibri" w:eastAsia="Calibri" w:hAnsi="Calibri"/>
          <w:sz w:val="14"/>
          <w:szCs w:val="14"/>
          <w:rtl w:val="0"/>
        </w:rPr>
        <w:t xml:space="preserve">   consultada el 26 de junio de 2025.</w:t>
      </w:r>
    </w:p>
    <w:p w:rsidR="00000000" w:rsidDel="00000000" w:rsidP="00000000" w:rsidRDefault="00000000" w:rsidRPr="00000000" w14:paraId="0000045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14"/>
          <w:szCs w:val="14"/>
          <w:u w:val="none"/>
          <w:shd w:fill="auto" w:val="clear"/>
          <w:vertAlign w:val="baseline"/>
        </w:rPr>
      </w:pPr>
      <w:r w:rsidDel="00000000" w:rsidR="00000000" w:rsidRPr="00000000">
        <w:rPr>
          <w:rtl w:val="0"/>
        </w:rPr>
      </w:r>
    </w:p>
  </w:footnote>
  <w:footnote w:id="8">
    <w:p w:rsidR="00000000" w:rsidDel="00000000" w:rsidP="00000000" w:rsidRDefault="00000000" w:rsidRPr="00000000" w14:paraId="0000046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rebuchet MS" w:cs="Trebuchet MS" w:eastAsia="Trebuchet MS" w:hAnsi="Trebuchet MS"/>
          <w:b w:val="0"/>
          <w:bCs w:val="0"/>
          <w:i w:val="0"/>
          <w:iCs w:val="0"/>
          <w:smallCaps w:val="0"/>
          <w:strike w:val="0"/>
          <w:color w:val="000000"/>
          <w:sz w:val="14"/>
          <w:szCs w:val="14"/>
          <w:u w:val="none"/>
          <w:shd w:fill="auto" w:val="clear"/>
          <w:vertAlign w:val="baseline"/>
        </w:rPr>
      </w:pPr>
      <w:r w:rsidDel="00000000" w:rsidR="00000000" w:rsidRPr="00000000">
        <w:rPr>
          <w:rStyle w:val="FootnoteReference"/>
          <w:vertAlign w:val="superscript"/>
        </w:rPr>
        <w:footnoteRef/>
      </w:r>
      <w:r w:rsidDel="00000000" w:rsidR="00000000" w:rsidRPr="00000000">
        <w:rPr>
          <w:rFonts w:ascii="Trebuchet MS" w:cs="Trebuchet MS" w:eastAsia="Trebuchet MS" w:hAnsi="Trebuchet MS"/>
          <w:b w:val="0"/>
          <w:bCs w:val="0"/>
          <w:i w:val="0"/>
          <w:iCs w:val="0"/>
          <w:smallCaps w:val="0"/>
          <w:strike w:val="0"/>
          <w:color w:val="000000"/>
          <w:sz w:val="14"/>
          <w:szCs w:val="14"/>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14"/>
          <w:szCs w:val="14"/>
          <w:u w:val="none"/>
          <w:shd w:fill="auto" w:val="clear"/>
          <w:vertAlign w:val="baseline"/>
          <w:rtl w:val="0"/>
        </w:rPr>
        <w:t xml:space="preserve">: DANE – Boletín técnico Índice de Precios al Consumidor (IPC) enero 2024. Versión electrónica disponible en el link: </w:t>
      </w:r>
      <w:hyperlink r:id="rId7">
        <w:r w:rsidDel="00000000" w:rsidR="00000000" w:rsidRPr="00000000">
          <w:rPr>
            <w:rFonts w:ascii="Calibri" w:cs="Calibri" w:eastAsia="Calibri" w:hAnsi="Calibri"/>
            <w:color w:val="1155cc"/>
            <w:sz w:val="14"/>
            <w:szCs w:val="14"/>
            <w:u w:val="single"/>
            <w:rtl w:val="0"/>
          </w:rPr>
          <w:t xml:space="preserve">https://www.dane.gov.co/index.php/estadisticas-por-tema/cuentas-nacionales/indicador-de-seguimiento-a-la-economia-ise</w:t>
        </w:r>
      </w:hyperlink>
      <w:r w:rsidDel="00000000" w:rsidR="00000000" w:rsidRPr="00000000">
        <w:rPr>
          <w:rFonts w:ascii="Calibri" w:cs="Calibri" w:eastAsia="Calibri" w:hAnsi="Calibri"/>
          <w:color w:val="000000"/>
          <w:sz w:val="14"/>
          <w:szCs w:val="14"/>
          <w:u w:val="none"/>
          <w:rtl w:val="0"/>
        </w:rPr>
        <w:tab/>
      </w:r>
      <w:r w:rsidDel="00000000" w:rsidR="00000000" w:rsidRPr="00000000">
        <w:rPr>
          <w:rtl w:val="0"/>
        </w:rPr>
      </w:r>
    </w:p>
  </w:footnote>
  <w:footnote w:id="9">
    <w:p w:rsidR="00000000" w:rsidDel="00000000" w:rsidP="00000000" w:rsidRDefault="00000000" w:rsidRPr="00000000" w14:paraId="0000046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Garamond" w:cs="Garamond" w:eastAsia="Garamond" w:hAnsi="Garamond"/>
          <w:b w:val="0"/>
          <w:bCs w:val="0"/>
          <w:i w:val="0"/>
          <w:iCs w:val="0"/>
          <w:smallCaps w:val="0"/>
          <w:strike w:val="0"/>
          <w:color w:val="000000"/>
          <w:sz w:val="14"/>
          <w:szCs w:val="14"/>
          <w:u w:val="none"/>
          <w:shd w:fill="auto" w:val="clear"/>
          <w:vertAlign w:val="baseline"/>
          <w:rtl w:val="0"/>
        </w:rPr>
        <w:t xml:space="preserve">DANE – Indicador de Seguimiento a la Economía (ISE) abril de 202</w:t>
      </w:r>
      <w:r w:rsidDel="00000000" w:rsidR="00000000" w:rsidRPr="00000000">
        <w:rPr>
          <w:rFonts w:ascii="Garamond" w:cs="Garamond" w:eastAsia="Garamond" w:hAnsi="Garamond"/>
          <w:sz w:val="14"/>
          <w:szCs w:val="14"/>
          <w:rtl w:val="0"/>
        </w:rPr>
        <w:t xml:space="preserve">6</w:t>
      </w:r>
      <w:r w:rsidDel="00000000" w:rsidR="00000000" w:rsidRPr="00000000">
        <w:rPr>
          <w:rFonts w:ascii="Garamond" w:cs="Garamond" w:eastAsia="Garamond" w:hAnsi="Garamond"/>
          <w:b w:val="0"/>
          <w:bCs w:val="0"/>
          <w:i w:val="0"/>
          <w:iCs w:val="0"/>
          <w:smallCaps w:val="0"/>
          <w:strike w:val="0"/>
          <w:color w:val="000000"/>
          <w:sz w:val="14"/>
          <w:szCs w:val="14"/>
          <w:u w:val="none"/>
          <w:shd w:fill="auto" w:val="clear"/>
          <w:vertAlign w:val="baseline"/>
          <w:rtl w:val="0"/>
        </w:rPr>
        <w:t xml:space="preserve">. Versión electrónica disponible en el link: </w:t>
      </w:r>
      <w:hyperlink r:id="rId8">
        <w:r w:rsidDel="00000000" w:rsidR="00000000" w:rsidRPr="00000000">
          <w:rPr>
            <w:rFonts w:ascii="Garamond" w:cs="Garamond" w:eastAsia="Garamond" w:hAnsi="Garamond"/>
            <w:color w:val="1155cc"/>
            <w:sz w:val="14"/>
            <w:szCs w:val="14"/>
            <w:u w:val="single"/>
            <w:rtl w:val="0"/>
          </w:rPr>
          <w:t xml:space="preserve">https://www.dane.gov.co/files/operaciones/ISE/bol-ISE-feb2026.pdf</w:t>
        </w:r>
      </w:hyperlink>
      <w:r w:rsidDel="00000000" w:rsidR="00000000" w:rsidRPr="00000000">
        <w:rPr>
          <w:rFonts w:ascii="Garamond" w:cs="Garamond" w:eastAsia="Garamond" w:hAnsi="Garamond"/>
          <w:color w:val="000000"/>
          <w:sz w:val="14"/>
          <w:szCs w:val="14"/>
          <w:u w:val="none"/>
          <w:rtl w:val="0"/>
        </w:rPr>
        <w:tab/>
      </w:r>
      <w:r w:rsidDel="00000000" w:rsidR="00000000" w:rsidRPr="00000000">
        <w:rPr>
          <w:rtl w:val="0"/>
        </w:rPr>
      </w:r>
    </w:p>
  </w:footnote>
  <w:footnote w:id="10">
    <w:p w:rsidR="00000000" w:rsidDel="00000000" w:rsidP="00000000" w:rsidRDefault="00000000" w:rsidRPr="00000000" w14:paraId="0000046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0"/>
          <w:bCs w:val="0"/>
          <w:i w:val="0"/>
          <w:iCs w:val="0"/>
          <w:smallCaps w:val="0"/>
          <w:strike w:val="0"/>
          <w:color w:val="00000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Garamond" w:cs="Garamond" w:eastAsia="Garamond" w:hAnsi="Garamond"/>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Garamond" w:cs="Garamond" w:eastAsia="Garamond" w:hAnsi="Garamond"/>
          <w:b w:val="0"/>
          <w:bCs w:val="0"/>
          <w:i w:val="0"/>
          <w:iCs w:val="0"/>
          <w:smallCaps w:val="0"/>
          <w:strike w:val="0"/>
          <w:color w:val="000000"/>
          <w:sz w:val="14"/>
          <w:szCs w:val="14"/>
          <w:u w:val="none"/>
          <w:shd w:fill="auto" w:val="clear"/>
          <w:vertAlign w:val="baseline"/>
          <w:rtl w:val="0"/>
        </w:rPr>
        <w:t xml:space="preserve">DANE – Indicador de Seguimiento a la Economía (ISE) abril de 202</w:t>
      </w:r>
      <w:r w:rsidDel="00000000" w:rsidR="00000000" w:rsidRPr="00000000">
        <w:rPr>
          <w:rFonts w:ascii="Garamond" w:cs="Garamond" w:eastAsia="Garamond" w:hAnsi="Garamond"/>
          <w:sz w:val="14"/>
          <w:szCs w:val="14"/>
          <w:rtl w:val="0"/>
        </w:rPr>
        <w:t xml:space="preserve">6</w:t>
      </w:r>
      <w:r w:rsidDel="00000000" w:rsidR="00000000" w:rsidRPr="00000000">
        <w:rPr>
          <w:rFonts w:ascii="Garamond" w:cs="Garamond" w:eastAsia="Garamond" w:hAnsi="Garamond"/>
          <w:b w:val="0"/>
          <w:bCs w:val="0"/>
          <w:i w:val="0"/>
          <w:iCs w:val="0"/>
          <w:smallCaps w:val="0"/>
          <w:strike w:val="0"/>
          <w:color w:val="000000"/>
          <w:sz w:val="14"/>
          <w:szCs w:val="14"/>
          <w:u w:val="none"/>
          <w:shd w:fill="auto" w:val="clear"/>
          <w:vertAlign w:val="baseline"/>
          <w:rtl w:val="0"/>
        </w:rPr>
        <w:t xml:space="preserve">. Versión electrónica disponible en el link: </w:t>
      </w:r>
      <w:hyperlink r:id="rId9">
        <w:r w:rsidDel="00000000" w:rsidR="00000000" w:rsidRPr="00000000">
          <w:rPr>
            <w:rFonts w:ascii="Garamond" w:cs="Garamond" w:eastAsia="Garamond" w:hAnsi="Garamond"/>
            <w:b w:val="0"/>
            <w:bCs w:val="0"/>
            <w:i w:val="0"/>
            <w:iCs w:val="0"/>
            <w:smallCaps w:val="0"/>
            <w:strike w:val="0"/>
            <w:color w:val="0000ff"/>
            <w:sz w:val="14"/>
            <w:szCs w:val="14"/>
            <w:u w:val="single"/>
            <w:shd w:fill="auto" w:val="clear"/>
            <w:vertAlign w:val="baseline"/>
            <w:rtl w:val="0"/>
          </w:rPr>
          <w:t xml:space="preserve">https://www.dane.gov.co/index.php/estadisticas-por-tema/cuentas-nacionales/indicador-de-seguimiento-a-la-economia-ise</w:t>
        </w:r>
      </w:hyperlink>
      <w:r w:rsidDel="00000000" w:rsidR="00000000" w:rsidRPr="00000000">
        <w:rPr>
          <w:rFonts w:ascii="Garamond" w:cs="Garamond" w:eastAsia="Garamond" w:hAnsi="Garamond"/>
          <w:sz w:val="20"/>
          <w:szCs w:val="20"/>
          <w:rtl w:val="0"/>
        </w:rPr>
        <w:t xml:space="preserve">.</w:t>
      </w:r>
      <w:r w:rsidDel="00000000" w:rsidR="00000000" w:rsidRPr="00000000">
        <w:rPr>
          <w:rFonts w:ascii="Garamond" w:cs="Garamond" w:eastAsia="Garamond" w:hAnsi="Garamond"/>
          <w:sz w:val="14"/>
          <w:szCs w:val="14"/>
          <w:rtl w:val="0"/>
        </w:rPr>
        <w:t xml:space="preserve">Versión electrónica disponible en el link: </w:t>
      </w:r>
      <w:r w:rsidDel="00000000" w:rsidR="00000000" w:rsidRPr="00000000">
        <w:rPr>
          <w:rtl w:val="0"/>
        </w:rPr>
      </w:r>
    </w:p>
    <w:p w:rsidR="00000000" w:rsidDel="00000000" w:rsidP="00000000" w:rsidRDefault="00000000" w:rsidRPr="00000000" w14:paraId="0000046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footnote>
  <w:footnote w:id="11">
    <w:p w:rsidR="00000000" w:rsidDel="00000000" w:rsidP="00000000" w:rsidRDefault="00000000" w:rsidRPr="00000000" w14:paraId="0000046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rebuchet MS" w:cs="Trebuchet MS" w:eastAsia="Trebuchet MS" w:hAnsi="Trebuchet MS"/>
          <w:b w:val="0"/>
          <w:bCs w:val="0"/>
          <w:i w:val="0"/>
          <w:iCs w:val="0"/>
          <w:smallCaps w:val="0"/>
          <w:strike w:val="0"/>
          <w:color w:val="000000"/>
          <w:sz w:val="14"/>
          <w:szCs w:val="14"/>
          <w:u w:val="none"/>
          <w:shd w:fill="auto" w:val="clear"/>
          <w:vertAlign w:val="baseline"/>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14"/>
          <w:szCs w:val="14"/>
          <w:u w:val="none"/>
          <w:shd w:fill="auto" w:val="clear"/>
          <w:vertAlign w:val="baseline"/>
          <w:rtl w:val="0"/>
        </w:rPr>
        <w:t xml:space="preserve">: DANE – Encuesta Mensual de Servicios (EMS) </w:t>
      </w:r>
      <w:r w:rsidDel="00000000" w:rsidR="00000000" w:rsidRPr="00000000">
        <w:rPr>
          <w:rFonts w:ascii="Calibri" w:cs="Calibri" w:eastAsia="Calibri" w:hAnsi="Calibri"/>
          <w:sz w:val="14"/>
          <w:szCs w:val="14"/>
          <w:rtl w:val="0"/>
        </w:rPr>
        <w:t xml:space="preserve">febrero</w:t>
      </w:r>
      <w:r w:rsidDel="00000000" w:rsidR="00000000" w:rsidRPr="00000000">
        <w:rPr>
          <w:rFonts w:ascii="Calibri" w:cs="Calibri" w:eastAsia="Calibri" w:hAnsi="Calibri"/>
          <w:b w:val="0"/>
          <w:bCs w:val="0"/>
          <w:i w:val="0"/>
          <w:iCs w:val="0"/>
          <w:smallCaps w:val="0"/>
          <w:strike w:val="0"/>
          <w:color w:val="000000"/>
          <w:sz w:val="14"/>
          <w:szCs w:val="14"/>
          <w:u w:val="none"/>
          <w:shd w:fill="auto" w:val="clear"/>
          <w:vertAlign w:val="baseline"/>
          <w:rtl w:val="0"/>
        </w:rPr>
        <w:t xml:space="preserve"> de 202</w:t>
      </w:r>
      <w:r w:rsidDel="00000000" w:rsidR="00000000" w:rsidRPr="00000000">
        <w:rPr>
          <w:rFonts w:ascii="Calibri" w:cs="Calibri" w:eastAsia="Calibri" w:hAnsi="Calibri"/>
          <w:sz w:val="14"/>
          <w:szCs w:val="14"/>
          <w:rtl w:val="0"/>
        </w:rPr>
        <w:t xml:space="preserve">6</w:t>
      </w:r>
      <w:r w:rsidDel="00000000" w:rsidR="00000000" w:rsidRPr="00000000">
        <w:rPr>
          <w:rFonts w:ascii="Calibri" w:cs="Calibri" w:eastAsia="Calibri" w:hAnsi="Calibri"/>
          <w:b w:val="0"/>
          <w:bCs w:val="0"/>
          <w:i w:val="0"/>
          <w:iCs w:val="0"/>
          <w:smallCaps w:val="0"/>
          <w:strike w:val="0"/>
          <w:color w:val="000000"/>
          <w:sz w:val="14"/>
          <w:szCs w:val="14"/>
          <w:u w:val="none"/>
          <w:shd w:fill="auto" w:val="clear"/>
          <w:vertAlign w:val="baseline"/>
          <w:rtl w:val="0"/>
        </w:rPr>
        <w:t xml:space="preserve">. Versión electrónica disponible en el link: </w:t>
      </w:r>
      <w:hyperlink r:id="rId10">
        <w:r w:rsidDel="00000000" w:rsidR="00000000" w:rsidRPr="00000000">
          <w:rPr>
            <w:rFonts w:ascii="Calibri" w:cs="Calibri" w:eastAsia="Calibri" w:hAnsi="Calibri"/>
            <w:color w:val="1155cc"/>
            <w:sz w:val="14"/>
            <w:szCs w:val="14"/>
            <w:u w:val="single"/>
            <w:rtl w:val="0"/>
          </w:rPr>
          <w:t xml:space="preserve">https://www.dane.gov.co/files/operaciones/EMS/gra-EMS-feb2026.html?utm_source</w:t>
        </w:r>
      </w:hyperlink>
      <w:r w:rsidDel="00000000" w:rsidR="00000000" w:rsidRPr="00000000">
        <w:rPr>
          <w:rFonts w:ascii="Calibri" w:cs="Calibri" w:eastAsia="Calibri" w:hAnsi="Calibri"/>
          <w:color w:val="000000"/>
          <w:sz w:val="14"/>
          <w:szCs w:val="14"/>
          <w:u w:val="none"/>
          <w:rtl w:val="0"/>
        </w:rPr>
        <w:tab/>
      </w:r>
      <w:r w:rsidDel="00000000" w:rsidR="00000000" w:rsidRPr="00000000">
        <w:rPr>
          <w:rtl w:val="0"/>
        </w:rPr>
      </w:r>
    </w:p>
  </w:footnote>
  <w:footnote w:id="12">
    <w:p w:rsidR="00000000" w:rsidDel="00000000" w:rsidP="00000000" w:rsidRDefault="00000000" w:rsidRPr="00000000" w14:paraId="0000046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rebuchet MS" w:cs="Trebuchet MS" w:eastAsia="Trebuchet MS" w:hAnsi="Trebuchet MS"/>
          <w:b w:val="0"/>
          <w:bCs w:val="0"/>
          <w:i w:val="0"/>
          <w:iCs w:val="0"/>
          <w:smallCaps w:val="0"/>
          <w:strike w:val="0"/>
          <w:color w:val="000000"/>
          <w:sz w:val="14"/>
          <w:szCs w:val="14"/>
          <w:u w:val="none"/>
          <w:shd w:fill="auto" w:val="clear"/>
          <w:vertAlign w:val="baseline"/>
        </w:rPr>
      </w:pPr>
      <w:r w:rsidDel="00000000" w:rsidR="00000000" w:rsidRPr="00000000">
        <w:rPr>
          <w:rStyle w:val="FootnoteReference"/>
          <w:vertAlign w:val="superscript"/>
        </w:rPr>
        <w:footnoteRef/>
      </w:r>
      <w:r w:rsidDel="00000000" w:rsidR="00000000" w:rsidRPr="00000000">
        <w:rPr>
          <w:rtl w:val="0"/>
        </w:rPr>
      </w:r>
    </w:p>
  </w:footnote>
  <w:footnote w:id="13">
    <w:p w:rsidR="00000000" w:rsidDel="00000000" w:rsidP="00000000" w:rsidRDefault="00000000" w:rsidRPr="00000000" w14:paraId="0000046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Garamond" w:cs="Garamond" w:eastAsia="Garamond" w:hAnsi="Garamond"/>
          <w:b w:val="0"/>
          <w:bCs w:val="0"/>
          <w:i w:val="0"/>
          <w:iCs w:val="0"/>
          <w:smallCaps w:val="0"/>
          <w:strike w:val="0"/>
          <w:color w:val="000000"/>
          <w:sz w:val="16"/>
          <w:szCs w:val="16"/>
          <w:u w:val="none"/>
          <w:shd w:fill="auto" w:val="clear"/>
          <w:vertAlign w:val="baseline"/>
          <w:rtl w:val="0"/>
        </w:rPr>
        <w:t xml:space="preserve">Tomado de: </w:t>
      </w:r>
      <w:hyperlink r:id="rId11">
        <w:r w:rsidDel="00000000" w:rsidR="00000000" w:rsidRPr="00000000">
          <w:rPr>
            <w:rFonts w:ascii="Garamond" w:cs="Garamond" w:eastAsia="Garamond" w:hAnsi="Garamond"/>
            <w:b w:val="0"/>
            <w:bCs w:val="0"/>
            <w:i w:val="0"/>
            <w:iCs w:val="0"/>
            <w:smallCaps w:val="0"/>
            <w:strike w:val="0"/>
            <w:color w:val="0000ff"/>
            <w:sz w:val="16"/>
            <w:szCs w:val="16"/>
            <w:u w:val="single"/>
            <w:shd w:fill="auto" w:val="clear"/>
            <w:vertAlign w:val="baseline"/>
            <w:rtl w:val="0"/>
          </w:rPr>
          <w:t xml:space="preserve">https://www.bolsamercantil.com.co/node/1614</w:t>
        </w:r>
      </w:hyperlink>
      <w:r w:rsidDel="00000000" w:rsidR="00000000" w:rsidRPr="00000000">
        <w:rPr>
          <w:rFonts w:ascii="Garamond" w:cs="Garamond" w:eastAsia="Garamond" w:hAnsi="Garamond"/>
          <w:b w:val="0"/>
          <w:bCs w:val="0"/>
          <w:i w:val="0"/>
          <w:iCs w:val="0"/>
          <w:smallCaps w:val="0"/>
          <w:strike w:val="0"/>
          <w:color w:val="000000"/>
          <w:sz w:val="16"/>
          <w:szCs w:val="16"/>
          <w:u w:val="none"/>
          <w:shd w:fill="auto" w:val="clear"/>
          <w:vertAlign w:val="baseline"/>
          <w:rtl w:val="0"/>
        </w:rPr>
        <w:t xml:space="preserve"> </w:t>
      </w:r>
      <w:r w:rsidDel="00000000" w:rsidR="00000000" w:rsidRPr="00000000">
        <w:rPr>
          <w:rtl w:val="0"/>
        </w:rPr>
      </w:r>
    </w:p>
  </w:footnote>
  <w:footnote w:id="14">
    <w:p w:rsidR="00000000" w:rsidDel="00000000" w:rsidP="00000000" w:rsidRDefault="00000000" w:rsidRPr="00000000" w14:paraId="0000046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Garamond" w:cs="Garamond" w:eastAsia="Garamond" w:hAnsi="Garamond"/>
          <w:b w:val="0"/>
          <w:bCs w:val="0"/>
          <w:i w:val="0"/>
          <w:iCs w:val="0"/>
          <w:smallCaps w:val="0"/>
          <w:strike w:val="0"/>
          <w:color w:val="000000"/>
          <w:sz w:val="16"/>
          <w:szCs w:val="16"/>
          <w:u w:val="none"/>
          <w:shd w:fill="auto" w:val="clear"/>
          <w:vertAlign w:val="baseline"/>
          <w:rtl w:val="0"/>
        </w:rPr>
        <w:t xml:space="preserve">Colombia Compra Eficiente MAE – Análisis de la Demanda. Versión electrónica disponible en el link: </w:t>
      </w:r>
      <w:hyperlink r:id="rId12">
        <w:r w:rsidDel="00000000" w:rsidR="00000000" w:rsidRPr="00000000">
          <w:rPr>
            <w:rFonts w:ascii="Garamond" w:cs="Garamond" w:eastAsia="Garamond" w:hAnsi="Garamond"/>
            <w:b w:val="0"/>
            <w:bCs w:val="0"/>
            <w:i w:val="0"/>
            <w:iCs w:val="0"/>
            <w:smallCaps w:val="0"/>
            <w:strike w:val="0"/>
            <w:color w:val="0000ff"/>
            <w:sz w:val="16"/>
            <w:szCs w:val="16"/>
            <w:u w:val="single"/>
            <w:shd w:fill="auto" w:val="clear"/>
            <w:vertAlign w:val="baseline"/>
            <w:rtl w:val="0"/>
          </w:rPr>
          <w:t xml:space="preserve">https://app.powerbi.com/view?r=eyJrIjoiMGY4MWZmZmUtNGJlYy00YTBlLTgzYmYtZGE2NGRkZDA1YTJlIiwidCI6IjdiMDkwNDFlLTI0NTEtNDlkMC04Y2IxLTc5ZDVlM2Q4YzFiZSIsImMiOjR9&amp;pageName=ReportSection17ad17361e56dd6a009c</w:t>
        </w:r>
      </w:hyperlink>
      <w:r w:rsidDel="00000000" w:rsidR="00000000" w:rsidRPr="00000000">
        <w:rPr>
          <w:rFonts w:ascii="Garamond" w:cs="Garamond" w:eastAsia="Garamond" w:hAnsi="Garamond"/>
          <w:b w:val="0"/>
          <w:bCs w:val="0"/>
          <w:i w:val="0"/>
          <w:iCs w:val="0"/>
          <w:smallCaps w:val="0"/>
          <w:strike w:val="0"/>
          <w:color w:val="000000"/>
          <w:sz w:val="16"/>
          <w:szCs w:val="16"/>
          <w:u w:val="none"/>
          <w:shd w:fill="auto" w:val="clear"/>
          <w:vertAlign w:val="baseline"/>
          <w:rtl w:val="0"/>
        </w:rPr>
        <w:t xml:space="preserve"> consultada el 21/08/2025</w:t>
      </w:r>
      <w:r w:rsidDel="00000000" w:rsidR="00000000" w:rsidRPr="00000000">
        <w:rPr>
          <w:rtl w:val="0"/>
        </w:rPr>
      </w:r>
    </w:p>
  </w:footnote>
  <w:footnote w:id="15">
    <w:p w:rsidR="00000000" w:rsidDel="00000000" w:rsidP="00000000" w:rsidRDefault="00000000" w:rsidRPr="00000000" w14:paraId="0000046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Garamond" w:cs="Garamond" w:eastAsia="Garamond" w:hAnsi="Garamond"/>
          <w:b w:val="0"/>
          <w:bCs w:val="0"/>
          <w:i w:val="0"/>
          <w:iCs w:val="0"/>
          <w:smallCaps w:val="0"/>
          <w:strike w:val="0"/>
          <w:color w:val="000000"/>
          <w:sz w:val="16"/>
          <w:szCs w:val="16"/>
          <w:u w:val="none"/>
          <w:shd w:fill="auto" w:val="clear"/>
          <w:vertAlign w:val="baseline"/>
          <w:rtl w:val="0"/>
        </w:rPr>
        <w:t xml:space="preserve">Colombia Compra Eficiente MAE – Análisis de la Demanda. Versión electrónica disponible en el link: </w:t>
      </w:r>
      <w:hyperlink r:id="rId13">
        <w:r w:rsidDel="00000000" w:rsidR="00000000" w:rsidRPr="00000000">
          <w:rPr>
            <w:rFonts w:ascii="Garamond" w:cs="Garamond" w:eastAsia="Garamond" w:hAnsi="Garamond"/>
            <w:color w:val="1155cc"/>
            <w:sz w:val="16"/>
            <w:szCs w:val="16"/>
            <w:u w:val="single"/>
            <w:rtl w:val="0"/>
          </w:rPr>
          <w:t xml:space="preserve">https://app.powerbi.com/view?r=eyJrIjoiNjkwMzhkMjItNjZjZC00YzA3LWI1MDMtMGEyNzlmYWRjNDYxIiwidCI6IjdiMDkwNDFlLTI0NTEtNDlkMC04Y2IxLTc5ZDVlM2Q4YzFiZSIsImMiOjR9</w:t>
        </w:r>
      </w:hyperlink>
      <w:r w:rsidDel="00000000" w:rsidR="00000000" w:rsidRPr="00000000">
        <w:rPr>
          <w:rFonts w:ascii="Garamond" w:cs="Garamond" w:eastAsia="Garamond" w:hAnsi="Garamond"/>
          <w:b w:val="0"/>
          <w:bCs w:val="0"/>
          <w:i w:val="0"/>
          <w:iCs w:val="0"/>
          <w:smallCaps w:val="0"/>
          <w:strike w:val="0"/>
          <w:color w:val="000000"/>
          <w:sz w:val="16"/>
          <w:szCs w:val="16"/>
          <w:u w:val="none"/>
          <w:shd w:fill="auto" w:val="clear"/>
          <w:vertAlign w:val="baseline"/>
          <w:rtl w:val="0"/>
        </w:rPr>
        <w:t xml:space="preserve"> consultada el </w:t>
      </w:r>
      <w:r w:rsidDel="00000000" w:rsidR="00000000" w:rsidRPr="00000000">
        <w:rPr>
          <w:rFonts w:ascii="Garamond" w:cs="Garamond" w:eastAsia="Garamond" w:hAnsi="Garamond"/>
          <w:sz w:val="16"/>
          <w:szCs w:val="16"/>
          <w:rtl w:val="0"/>
        </w:rPr>
        <w:t xml:space="preserve">05</w:t>
      </w:r>
      <w:r w:rsidDel="00000000" w:rsidR="00000000" w:rsidRPr="00000000">
        <w:rPr>
          <w:rFonts w:ascii="Garamond" w:cs="Garamond" w:eastAsia="Garamond" w:hAnsi="Garamond"/>
          <w:b w:val="0"/>
          <w:bCs w:val="0"/>
          <w:i w:val="0"/>
          <w:iCs w:val="0"/>
          <w:smallCaps w:val="0"/>
          <w:strike w:val="0"/>
          <w:color w:val="000000"/>
          <w:sz w:val="16"/>
          <w:szCs w:val="16"/>
          <w:u w:val="none"/>
          <w:shd w:fill="auto" w:val="clear"/>
          <w:vertAlign w:val="baseline"/>
          <w:rtl w:val="0"/>
        </w:rPr>
        <w:t xml:space="preserve">/</w:t>
      </w:r>
      <w:r w:rsidDel="00000000" w:rsidR="00000000" w:rsidRPr="00000000">
        <w:rPr>
          <w:rFonts w:ascii="Garamond" w:cs="Garamond" w:eastAsia="Garamond" w:hAnsi="Garamond"/>
          <w:sz w:val="16"/>
          <w:szCs w:val="16"/>
          <w:rtl w:val="0"/>
        </w:rPr>
        <w:t xml:space="preserve">05</w:t>
      </w:r>
      <w:r w:rsidDel="00000000" w:rsidR="00000000" w:rsidRPr="00000000">
        <w:rPr>
          <w:rFonts w:ascii="Garamond" w:cs="Garamond" w:eastAsia="Garamond" w:hAnsi="Garamond"/>
          <w:b w:val="0"/>
          <w:bCs w:val="0"/>
          <w:i w:val="0"/>
          <w:iCs w:val="0"/>
          <w:smallCaps w:val="0"/>
          <w:strike w:val="0"/>
          <w:color w:val="000000"/>
          <w:sz w:val="16"/>
          <w:szCs w:val="16"/>
          <w:u w:val="none"/>
          <w:shd w:fill="auto" w:val="clear"/>
          <w:vertAlign w:val="baseline"/>
          <w:rtl w:val="0"/>
        </w:rPr>
        <w:t xml:space="preserve">/202</w:t>
      </w:r>
      <w:r w:rsidDel="00000000" w:rsidR="00000000" w:rsidRPr="00000000">
        <w:rPr>
          <w:rFonts w:ascii="Garamond" w:cs="Garamond" w:eastAsia="Garamond" w:hAnsi="Garamond"/>
          <w:sz w:val="16"/>
          <w:szCs w:val="16"/>
          <w:rtl w:val="0"/>
        </w:rPr>
        <w:t xml:space="preserve">6</w:t>
      </w:r>
      <w:r w:rsidDel="00000000" w:rsidR="00000000" w:rsidRPr="00000000">
        <w:rPr>
          <w:rtl w:val="0"/>
        </w:rPr>
      </w:r>
    </w:p>
  </w:footnote>
  <w:footnote w:id="16">
    <w:p w:rsidR="00000000" w:rsidDel="00000000" w:rsidP="00000000" w:rsidRDefault="00000000" w:rsidRPr="00000000" w14:paraId="0000046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tl w:val="0"/>
        </w:rPr>
      </w:r>
    </w:p>
  </w:footnote>
  <w:footnote w:id="17">
    <w:p w:rsidR="00000000" w:rsidDel="00000000" w:rsidP="00000000" w:rsidRDefault="00000000" w:rsidRPr="00000000" w14:paraId="0000046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Garamond" w:cs="Garamond" w:eastAsia="Garamond" w:hAnsi="Garamond"/>
          <w:b w:val="0"/>
          <w:bCs w:val="0"/>
          <w:i w:val="0"/>
          <w:iCs w:val="0"/>
          <w:smallCaps w:val="0"/>
          <w:strike w:val="0"/>
          <w:color w:val="000000"/>
          <w:sz w:val="16"/>
          <w:szCs w:val="16"/>
          <w:u w:val="none"/>
          <w:shd w:fill="auto" w:val="clear"/>
          <w:vertAlign w:val="baseline"/>
          <w:rtl w:val="0"/>
        </w:rPr>
        <w:t xml:space="preserve">Colombia Compra Eficiente MAE – Análisis de la Demanda. Versión electrónica disponible en el link: </w:t>
      </w:r>
      <w:hyperlink r:id="rId14">
        <w:r w:rsidDel="00000000" w:rsidR="00000000" w:rsidRPr="00000000">
          <w:rPr>
            <w:rFonts w:ascii="Garamond" w:cs="Garamond" w:eastAsia="Garamond" w:hAnsi="Garamond"/>
            <w:b w:val="0"/>
            <w:bCs w:val="0"/>
            <w:i w:val="0"/>
            <w:iCs w:val="0"/>
            <w:smallCaps w:val="0"/>
            <w:strike w:val="0"/>
            <w:color w:val="0000ff"/>
            <w:sz w:val="16"/>
            <w:szCs w:val="16"/>
            <w:u w:val="single"/>
            <w:shd w:fill="auto" w:val="clear"/>
            <w:vertAlign w:val="baseline"/>
            <w:rtl w:val="0"/>
          </w:rPr>
          <w:t xml:space="preserve">https://app.powerbi.com/view?r=eyJrIjoiMGY4MWZmZmUtNGJlYy00YTBlLTgzYmYtZGE2NGRkZDA1YTJlIiwidCI6IjdiMDkwNDFlLTI0NTEtNDlkMC04Y2IxLTc5ZDVlM2Q4YzFiZSIsImMiOjR9&amp;pageName=ReportSection17ad17361e56dd6a009c</w:t>
        </w:r>
      </w:hyperlink>
      <w:r w:rsidDel="00000000" w:rsidR="00000000" w:rsidRPr="00000000">
        <w:rPr>
          <w:rFonts w:ascii="Garamond" w:cs="Garamond" w:eastAsia="Garamond" w:hAnsi="Garamond"/>
          <w:b w:val="0"/>
          <w:bCs w:val="0"/>
          <w:i w:val="0"/>
          <w:iCs w:val="0"/>
          <w:smallCaps w:val="0"/>
          <w:strike w:val="0"/>
          <w:color w:val="000000"/>
          <w:sz w:val="16"/>
          <w:szCs w:val="16"/>
          <w:u w:val="none"/>
          <w:shd w:fill="auto" w:val="clear"/>
          <w:vertAlign w:val="baseline"/>
          <w:rtl w:val="0"/>
        </w:rPr>
        <w:t xml:space="preserve"> consultada el 21/08/2025</w:t>
      </w:r>
      <w:r w:rsidDel="00000000" w:rsidR="00000000" w:rsidRPr="00000000">
        <w:rPr>
          <w:rtl w:val="0"/>
        </w:rPr>
      </w:r>
    </w:p>
  </w:footnote>
  <w:footnote w:id="18">
    <w:p w:rsidR="00000000" w:rsidDel="00000000" w:rsidP="00000000" w:rsidRDefault="00000000" w:rsidRPr="00000000" w14:paraId="0000046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tl w:val="0"/>
        </w:rPr>
      </w:r>
    </w:p>
    <w:p w:rsidR="00000000" w:rsidDel="00000000" w:rsidP="00000000" w:rsidRDefault="00000000" w:rsidRPr="00000000" w14:paraId="0000046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footnote>
  <w:footnote w:id="19">
    <w:p w:rsidR="00000000" w:rsidDel="00000000" w:rsidP="00000000" w:rsidRDefault="00000000" w:rsidRPr="00000000" w14:paraId="0000046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color w:val="000000"/>
          <w:sz w:val="16"/>
          <w:szCs w:val="16"/>
          <w:u w:val="none"/>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Garamond" w:cs="Garamond" w:eastAsia="Garamond" w:hAnsi="Garamond"/>
          <w:b w:val="0"/>
          <w:bCs w:val="0"/>
          <w:i w:val="0"/>
          <w:iCs w:val="0"/>
          <w:smallCaps w:val="0"/>
          <w:strike w:val="0"/>
          <w:color w:val="000000"/>
          <w:sz w:val="16"/>
          <w:szCs w:val="16"/>
          <w:u w:val="none"/>
          <w:shd w:fill="auto" w:val="clear"/>
          <w:vertAlign w:val="baseline"/>
          <w:rtl w:val="0"/>
        </w:rPr>
        <w:t xml:space="preserve">Colombia Compra Eficiente MAE – Análisis de la Demanda. Versión electrónica disponible en el link: </w:t>
      </w:r>
      <w:r w:rsidDel="00000000" w:rsidR="00000000" w:rsidRPr="00000000">
        <w:rPr>
          <w:rtl w:val="0"/>
        </w:rPr>
      </w:r>
    </w:p>
    <w:p w:rsidR="00000000" w:rsidDel="00000000" w:rsidP="00000000" w:rsidRDefault="00000000" w:rsidRPr="00000000" w14:paraId="0000046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sz w:val="16"/>
          <w:szCs w:val="16"/>
        </w:rPr>
      </w:pPr>
      <w:hyperlink r:id="rId15">
        <w:r w:rsidDel="00000000" w:rsidR="00000000" w:rsidRPr="00000000">
          <w:rPr>
            <w:rFonts w:ascii="Garamond" w:cs="Garamond" w:eastAsia="Garamond" w:hAnsi="Garamond"/>
            <w:color w:val="1155cc"/>
            <w:sz w:val="16"/>
            <w:szCs w:val="16"/>
            <w:u w:val="single"/>
            <w:rtl w:val="0"/>
          </w:rPr>
          <w:t xml:space="preserve">https://www.colombiacompra.gov.co/analisis-de-datos-de-compra-publica/visualizaciones-compra-publica/herramienta-de-visualizacion-para-el-analisis-de-la-demanda-y-de-la-oferta</w:t>
        </w:r>
      </w:hyperlink>
      <w:r w:rsidDel="00000000" w:rsidR="00000000" w:rsidRPr="00000000">
        <w:rPr>
          <w:rFonts w:ascii="Garamond" w:cs="Garamond" w:eastAsia="Garamond" w:hAnsi="Garamond"/>
          <w:sz w:val="16"/>
          <w:szCs w:val="16"/>
          <w:rtl w:val="0"/>
        </w:rPr>
        <w:tab/>
        <w:t xml:space="preserve">Vigencia 2026 </w:t>
        <w:tab/>
      </w:r>
    </w:p>
  </w:footnote>
  <w:footnote w:id="20">
    <w:p w:rsidR="00000000" w:rsidDel="00000000" w:rsidP="00000000" w:rsidRDefault="00000000" w:rsidRPr="00000000" w14:paraId="0000046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bCs w:val="0"/>
          <w:i w:val="0"/>
          <w:iCs w:val="0"/>
          <w:smallCaps w:val="0"/>
          <w:strike w:val="0"/>
          <w:color w:val="000000"/>
          <w:sz w:val="16"/>
          <w:szCs w:val="16"/>
          <w:u w:val="none"/>
          <w:shd w:fill="auto" w:val="clear"/>
          <w:vertAlign w:val="baseline"/>
        </w:rPr>
      </w:pPr>
      <w:r w:rsidDel="00000000" w:rsidR="00000000" w:rsidRPr="00000000">
        <w:rPr>
          <w:rStyle w:val="FootnoteReference"/>
          <w:vertAlign w:val="superscript"/>
        </w:rPr>
        <w:footnoteRef/>
      </w:r>
      <w:r w:rsidDel="00000000" w:rsidR="00000000" w:rsidRPr="00000000">
        <w:rPr>
          <w:rFonts w:ascii="Garamond" w:cs="Garamond" w:eastAsia="Garamond" w:hAnsi="Garamond"/>
          <w:b w:val="0"/>
          <w:bCs w:val="0"/>
          <w:i w:val="0"/>
          <w:iCs w:val="0"/>
          <w:smallCaps w:val="0"/>
          <w:strike w:val="0"/>
          <w:color w:val="000000"/>
          <w:sz w:val="16"/>
          <w:szCs w:val="16"/>
          <w:u w:val="none"/>
          <w:shd w:fill="auto" w:val="clear"/>
          <w:vertAlign w:val="baseline"/>
          <w:rtl w:val="0"/>
        </w:rPr>
        <w:t xml:space="preserve"> Colombia Compra Eficiente MAE – Análisis de la Oferta</w:t>
      </w:r>
      <w:r w:rsidDel="00000000" w:rsidR="00000000" w:rsidRPr="00000000">
        <w:rPr>
          <w:rFonts w:ascii="Garamond" w:cs="Garamond" w:eastAsia="Garamond" w:hAnsi="Garamond"/>
          <w:b w:val="0"/>
          <w:bCs w:val="0"/>
          <w:i w:val="1"/>
          <w:iCs w:val="1"/>
          <w:smallCaps w:val="0"/>
          <w:strike w:val="0"/>
          <w:color w:val="000000"/>
          <w:sz w:val="16"/>
          <w:szCs w:val="16"/>
          <w:u w:val="none"/>
          <w:shd w:fill="auto" w:val="clear"/>
          <w:vertAlign w:val="baseline"/>
          <w:rtl w:val="0"/>
        </w:rPr>
        <w:t xml:space="preserve">. </w:t>
      </w:r>
      <w:r w:rsidDel="00000000" w:rsidR="00000000" w:rsidRPr="00000000">
        <w:rPr>
          <w:rFonts w:ascii="Garamond" w:cs="Garamond" w:eastAsia="Garamond" w:hAnsi="Garamond"/>
          <w:b w:val="0"/>
          <w:bCs w:val="0"/>
          <w:i w:val="0"/>
          <w:iCs w:val="0"/>
          <w:smallCaps w:val="0"/>
          <w:strike w:val="0"/>
          <w:color w:val="000000"/>
          <w:sz w:val="16"/>
          <w:szCs w:val="16"/>
          <w:u w:val="none"/>
          <w:shd w:fill="auto" w:val="clear"/>
          <w:vertAlign w:val="baseline"/>
          <w:rtl w:val="0"/>
        </w:rPr>
        <w:t xml:space="preserve">Versión electrónica disponible en el link: Fuente: Colombia Compra Eficiente, MAE – Análisis de la Oferta. Consulta del valor total estimado por proveedor, vigencias 2025 y 2026. </w:t>
      </w:r>
    </w:p>
    <w:p w:rsidR="00000000" w:rsidDel="00000000" w:rsidP="00000000" w:rsidRDefault="00000000" w:rsidRPr="00000000" w14:paraId="0000047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bCs w:val="0"/>
          <w:i w:val="0"/>
          <w:iCs w:val="0"/>
          <w:smallCaps w:val="0"/>
          <w:strike w:val="0"/>
          <w:color w:val="000000"/>
          <w:sz w:val="16"/>
          <w:szCs w:val="16"/>
          <w:u w:val="none"/>
          <w:shd w:fill="auto" w:val="clear"/>
          <w:vertAlign w:val="baseline"/>
        </w:rPr>
      </w:pPr>
      <w:hyperlink r:id="rId16">
        <w:r w:rsidDel="00000000" w:rsidR="00000000" w:rsidRPr="00000000">
          <w:rPr>
            <w:rFonts w:ascii="Garamond" w:cs="Garamond" w:eastAsia="Garamond" w:hAnsi="Garamond"/>
            <w:color w:val="1155cc"/>
            <w:sz w:val="16"/>
            <w:szCs w:val="16"/>
            <w:u w:val="single"/>
            <w:rtl w:val="0"/>
          </w:rPr>
          <w:t xml:space="preserve">https://www.colombiacompra.gov.co/analisis-de-datos-de-compra-publica/visualizaciones-compra-publica/herramienta-de-visualizacion-para-el-analisis-de-la-demanda-y-de-la-oferta</w:t>
        </w:r>
      </w:hyperlink>
      <w:r w:rsidDel="00000000" w:rsidR="00000000" w:rsidRPr="00000000">
        <w:rPr>
          <w:rFonts w:ascii="Garamond" w:cs="Garamond" w:eastAsia="Garamond" w:hAnsi="Garamond"/>
          <w:sz w:val="16"/>
          <w:szCs w:val="16"/>
          <w:rtl w:val="0"/>
        </w:rPr>
        <w:tab/>
        <w:t xml:space="preserve"> Consultada</w:t>
      </w:r>
      <w:r w:rsidDel="00000000" w:rsidR="00000000" w:rsidRPr="00000000">
        <w:rPr>
          <w:rFonts w:ascii="Garamond" w:cs="Garamond" w:eastAsia="Garamond" w:hAnsi="Garamond"/>
          <w:b w:val="0"/>
          <w:bCs w:val="0"/>
          <w:i w:val="0"/>
          <w:iCs w:val="0"/>
          <w:smallCaps w:val="0"/>
          <w:strike w:val="0"/>
          <w:color w:val="000000"/>
          <w:sz w:val="16"/>
          <w:szCs w:val="16"/>
          <w:u w:val="none"/>
          <w:shd w:fill="auto" w:val="clear"/>
          <w:vertAlign w:val="baseline"/>
          <w:rtl w:val="0"/>
        </w:rPr>
        <w:t xml:space="preserve"> el </w:t>
      </w:r>
      <w:r w:rsidDel="00000000" w:rsidR="00000000" w:rsidRPr="00000000">
        <w:rPr>
          <w:rFonts w:ascii="Garamond" w:cs="Garamond" w:eastAsia="Garamond" w:hAnsi="Garamond"/>
          <w:sz w:val="16"/>
          <w:szCs w:val="16"/>
          <w:rtl w:val="0"/>
        </w:rPr>
        <w:t xml:space="preserve">28</w:t>
      </w:r>
      <w:r w:rsidDel="00000000" w:rsidR="00000000" w:rsidRPr="00000000">
        <w:rPr>
          <w:rFonts w:ascii="Garamond" w:cs="Garamond" w:eastAsia="Garamond" w:hAnsi="Garamond"/>
          <w:b w:val="0"/>
          <w:bCs w:val="0"/>
          <w:i w:val="0"/>
          <w:iCs w:val="0"/>
          <w:smallCaps w:val="0"/>
          <w:strike w:val="0"/>
          <w:color w:val="000000"/>
          <w:sz w:val="16"/>
          <w:szCs w:val="16"/>
          <w:u w:val="none"/>
          <w:shd w:fill="auto" w:val="clear"/>
          <w:vertAlign w:val="baseline"/>
          <w:rtl w:val="0"/>
        </w:rPr>
        <w:t xml:space="preserve">/0</w:t>
      </w:r>
      <w:r w:rsidDel="00000000" w:rsidR="00000000" w:rsidRPr="00000000">
        <w:rPr>
          <w:rFonts w:ascii="Garamond" w:cs="Garamond" w:eastAsia="Garamond" w:hAnsi="Garamond"/>
          <w:sz w:val="16"/>
          <w:szCs w:val="16"/>
          <w:rtl w:val="0"/>
        </w:rPr>
        <w:t xml:space="preserve">5</w:t>
      </w:r>
      <w:r w:rsidDel="00000000" w:rsidR="00000000" w:rsidRPr="00000000">
        <w:rPr>
          <w:rFonts w:ascii="Garamond" w:cs="Garamond" w:eastAsia="Garamond" w:hAnsi="Garamond"/>
          <w:b w:val="0"/>
          <w:bCs w:val="0"/>
          <w:i w:val="0"/>
          <w:iCs w:val="0"/>
          <w:smallCaps w:val="0"/>
          <w:strike w:val="0"/>
          <w:color w:val="000000"/>
          <w:sz w:val="16"/>
          <w:szCs w:val="16"/>
          <w:u w:val="none"/>
          <w:shd w:fill="auto" w:val="clear"/>
          <w:vertAlign w:val="baseline"/>
          <w:rtl w:val="0"/>
        </w:rPr>
        <w:t xml:space="preserve">/202</w:t>
      </w:r>
      <w:r w:rsidDel="00000000" w:rsidR="00000000" w:rsidRPr="00000000">
        <w:rPr>
          <w:rFonts w:ascii="Garamond" w:cs="Garamond" w:eastAsia="Garamond" w:hAnsi="Garamond"/>
          <w:sz w:val="16"/>
          <w:szCs w:val="16"/>
          <w:rtl w:val="0"/>
        </w:rPr>
        <w:t xml:space="preserve">6</w:t>
      </w:r>
      <w:r w:rsidDel="00000000" w:rsidR="00000000" w:rsidRPr="00000000">
        <w:rPr>
          <w:rFonts w:ascii="Garamond" w:cs="Garamond" w:eastAsia="Garamond" w:hAnsi="Garamond"/>
          <w:b w:val="0"/>
          <w:bCs w:val="0"/>
          <w:i w:val="0"/>
          <w:iCs w:val="0"/>
          <w:smallCaps w:val="0"/>
          <w:strike w:val="0"/>
          <w:color w:val="000000"/>
          <w:sz w:val="16"/>
          <w:szCs w:val="16"/>
          <w:u w:val="none"/>
          <w:shd w:fill="auto" w:val="clear"/>
          <w:vertAlign w:val="baseline"/>
          <w:rtl w:val="0"/>
        </w:rPr>
        <w:t xml:space="preserve">.</w:t>
      </w:r>
    </w:p>
    <w:p w:rsidR="00000000" w:rsidDel="00000000" w:rsidP="00000000" w:rsidRDefault="00000000" w:rsidRPr="00000000" w14:paraId="0000047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bCs w:val="0"/>
          <w:i w:val="0"/>
          <w:iCs w:val="0"/>
          <w:smallCaps w:val="0"/>
          <w:strike w:val="0"/>
          <w:color w:val="000000"/>
          <w:sz w:val="14"/>
          <w:szCs w:val="14"/>
          <w:u w:val="none"/>
          <w:shd w:fill="auto" w:val="clear"/>
          <w:vertAlign w:val="baseline"/>
        </w:rPr>
      </w:pPr>
      <w:r w:rsidDel="00000000" w:rsidR="00000000" w:rsidRPr="00000000">
        <w:rPr>
          <w:rtl w:val="0"/>
        </w:rPr>
      </w:r>
    </w:p>
    <w:p w:rsidR="00000000" w:rsidDel="00000000" w:rsidP="00000000" w:rsidRDefault="00000000" w:rsidRPr="00000000" w14:paraId="0000047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footnote>
  <w:footnote w:id="21">
    <w:p w:rsidR="00000000" w:rsidDel="00000000" w:rsidP="00000000" w:rsidRDefault="00000000" w:rsidRPr="00000000" w14:paraId="0000047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Garamond" w:cs="Garamond" w:eastAsia="Garamond" w:hAnsi="Garamond"/>
          <w:b w:val="0"/>
          <w:bCs w:val="0"/>
          <w:i w:val="0"/>
          <w:iCs w:val="0"/>
          <w:smallCaps w:val="0"/>
          <w:strike w:val="0"/>
          <w:color w:val="000000"/>
          <w:sz w:val="16"/>
          <w:szCs w:val="16"/>
          <w:u w:val="none"/>
          <w:shd w:fill="auto" w:val="clear"/>
          <w:vertAlign w:val="baseline"/>
          <w:rtl w:val="0"/>
        </w:rPr>
        <w:t xml:space="preserve"> Colombia Compra Eficiente MAE – Análisis de la Oferta</w:t>
      </w:r>
      <w:r w:rsidDel="00000000" w:rsidR="00000000" w:rsidRPr="00000000">
        <w:rPr>
          <w:rFonts w:ascii="Garamond" w:cs="Garamond" w:eastAsia="Garamond" w:hAnsi="Garamond"/>
          <w:b w:val="0"/>
          <w:bCs w:val="0"/>
          <w:i w:val="1"/>
          <w:iCs w:val="1"/>
          <w:smallCaps w:val="0"/>
          <w:strike w:val="0"/>
          <w:color w:val="000000"/>
          <w:sz w:val="16"/>
          <w:szCs w:val="16"/>
          <w:u w:val="none"/>
          <w:shd w:fill="auto" w:val="clear"/>
          <w:vertAlign w:val="baseline"/>
          <w:rtl w:val="0"/>
        </w:rPr>
        <w:t xml:space="preserve">. </w:t>
      </w:r>
      <w:r w:rsidDel="00000000" w:rsidR="00000000" w:rsidRPr="00000000">
        <w:rPr>
          <w:rFonts w:ascii="Garamond" w:cs="Garamond" w:eastAsia="Garamond" w:hAnsi="Garamond"/>
          <w:b w:val="0"/>
          <w:bCs w:val="0"/>
          <w:i w:val="0"/>
          <w:iCs w:val="0"/>
          <w:smallCaps w:val="0"/>
          <w:strike w:val="0"/>
          <w:color w:val="000000"/>
          <w:sz w:val="16"/>
          <w:szCs w:val="16"/>
          <w:u w:val="none"/>
          <w:shd w:fill="auto" w:val="clear"/>
          <w:vertAlign w:val="baseline"/>
          <w:rtl w:val="0"/>
        </w:rPr>
        <w:t xml:space="preserve">Versión electrónica disponible en el link: </w:t>
      </w:r>
      <w:r w:rsidDel="00000000" w:rsidR="00000000" w:rsidRPr="00000000">
        <w:rPr>
          <w:rFonts w:ascii="Garamond" w:cs="Garamond" w:eastAsia="Garamond" w:hAnsi="Garamond"/>
          <w:color w:val="000000"/>
          <w:sz w:val="16"/>
          <w:szCs w:val="16"/>
          <w:u w:val="none"/>
          <w:rtl w:val="0"/>
        </w:rPr>
        <w:t xml:space="preserve">https://www.colombiacompra.gov.co/analisis-de-datos-de-compra-publica/visualizaciones-compra-publica/herramienta-de-visualizacion-para-el-analisis-de-la-demanda-y-de-la-oferta </w:t>
        <w:tab/>
      </w:r>
      <w:r w:rsidDel="00000000" w:rsidR="00000000" w:rsidRPr="00000000">
        <w:rPr>
          <w:rFonts w:ascii="Garamond" w:cs="Garamond" w:eastAsia="Garamond" w:hAnsi="Garamond"/>
          <w:b w:val="0"/>
          <w:bCs w:val="0"/>
          <w:i w:val="0"/>
          <w:iCs w:val="0"/>
          <w:smallCaps w:val="0"/>
          <w:strike w:val="0"/>
          <w:color w:val="000000"/>
          <w:sz w:val="16"/>
          <w:szCs w:val="16"/>
          <w:u w:val="none"/>
          <w:shd w:fill="auto" w:val="clear"/>
          <w:vertAlign w:val="baseline"/>
          <w:rtl w:val="0"/>
        </w:rPr>
        <w:t xml:space="preserve">consultada el </w:t>
      </w:r>
      <w:r w:rsidDel="00000000" w:rsidR="00000000" w:rsidRPr="00000000">
        <w:rPr>
          <w:rFonts w:ascii="Garamond" w:cs="Garamond" w:eastAsia="Garamond" w:hAnsi="Garamond"/>
          <w:sz w:val="16"/>
          <w:szCs w:val="16"/>
          <w:rtl w:val="0"/>
        </w:rPr>
        <w:t xml:space="preserve">28</w:t>
      </w:r>
      <w:r w:rsidDel="00000000" w:rsidR="00000000" w:rsidRPr="00000000">
        <w:rPr>
          <w:rFonts w:ascii="Garamond" w:cs="Garamond" w:eastAsia="Garamond" w:hAnsi="Garamond"/>
          <w:b w:val="0"/>
          <w:bCs w:val="0"/>
          <w:i w:val="0"/>
          <w:iCs w:val="0"/>
          <w:smallCaps w:val="0"/>
          <w:strike w:val="0"/>
          <w:color w:val="000000"/>
          <w:sz w:val="16"/>
          <w:szCs w:val="16"/>
          <w:u w:val="none"/>
          <w:shd w:fill="auto" w:val="clear"/>
          <w:vertAlign w:val="baseline"/>
          <w:rtl w:val="0"/>
        </w:rPr>
        <w:t xml:space="preserve">/0</w:t>
      </w:r>
      <w:r w:rsidDel="00000000" w:rsidR="00000000" w:rsidRPr="00000000">
        <w:rPr>
          <w:rFonts w:ascii="Garamond" w:cs="Garamond" w:eastAsia="Garamond" w:hAnsi="Garamond"/>
          <w:sz w:val="16"/>
          <w:szCs w:val="16"/>
          <w:rtl w:val="0"/>
        </w:rPr>
        <w:t xml:space="preserve">4</w:t>
      </w:r>
      <w:r w:rsidDel="00000000" w:rsidR="00000000" w:rsidRPr="00000000">
        <w:rPr>
          <w:rFonts w:ascii="Garamond" w:cs="Garamond" w:eastAsia="Garamond" w:hAnsi="Garamond"/>
          <w:b w:val="0"/>
          <w:bCs w:val="0"/>
          <w:i w:val="0"/>
          <w:iCs w:val="0"/>
          <w:smallCaps w:val="0"/>
          <w:strike w:val="0"/>
          <w:color w:val="000000"/>
          <w:sz w:val="16"/>
          <w:szCs w:val="16"/>
          <w:u w:val="none"/>
          <w:shd w:fill="auto" w:val="clear"/>
          <w:vertAlign w:val="baseline"/>
          <w:rtl w:val="0"/>
        </w:rPr>
        <w:t xml:space="preserve">/202</w:t>
      </w:r>
      <w:r w:rsidDel="00000000" w:rsidR="00000000" w:rsidRPr="00000000">
        <w:rPr>
          <w:rFonts w:ascii="Garamond" w:cs="Garamond" w:eastAsia="Garamond" w:hAnsi="Garamond"/>
          <w:sz w:val="16"/>
          <w:szCs w:val="16"/>
          <w:rtl w:val="0"/>
        </w:rPr>
        <w:t xml:space="preserve">6.</w:t>
      </w:r>
      <w:r w:rsidDel="00000000" w:rsidR="00000000" w:rsidRPr="00000000">
        <w:rPr>
          <w:rtl w:val="0"/>
        </w:rPr>
      </w:r>
    </w:p>
  </w:footnote>
  <w:footnote w:id="22">
    <w:p w:rsidR="00000000" w:rsidDel="00000000" w:rsidP="00000000" w:rsidRDefault="00000000" w:rsidRPr="00000000" w14:paraId="0000047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Garamond" w:cs="Garamond" w:eastAsia="Garamond" w:hAnsi="Garamond"/>
          <w:b w:val="0"/>
          <w:bCs w:val="0"/>
          <w:i w:val="0"/>
          <w:iCs w:val="0"/>
          <w:smallCaps w:val="0"/>
          <w:strike w:val="0"/>
          <w:color w:val="000000"/>
          <w:sz w:val="16"/>
          <w:szCs w:val="16"/>
          <w:u w:val="none"/>
          <w:shd w:fill="auto" w:val="clear"/>
          <w:vertAlign w:val="baseline"/>
          <w:rtl w:val="0"/>
        </w:rPr>
        <w:t xml:space="preserve"> Colombia Compra Eficiente MAE – Análisis de la Oferta</w:t>
      </w:r>
      <w:r w:rsidDel="00000000" w:rsidR="00000000" w:rsidRPr="00000000">
        <w:rPr>
          <w:rFonts w:ascii="Garamond" w:cs="Garamond" w:eastAsia="Garamond" w:hAnsi="Garamond"/>
          <w:b w:val="0"/>
          <w:bCs w:val="0"/>
          <w:i w:val="1"/>
          <w:iCs w:val="1"/>
          <w:smallCaps w:val="0"/>
          <w:strike w:val="0"/>
          <w:color w:val="000000"/>
          <w:sz w:val="16"/>
          <w:szCs w:val="16"/>
          <w:u w:val="none"/>
          <w:shd w:fill="auto" w:val="clear"/>
          <w:vertAlign w:val="baseline"/>
          <w:rtl w:val="0"/>
        </w:rPr>
        <w:t xml:space="preserve">. </w:t>
      </w:r>
      <w:r w:rsidDel="00000000" w:rsidR="00000000" w:rsidRPr="00000000">
        <w:rPr>
          <w:rFonts w:ascii="Garamond" w:cs="Garamond" w:eastAsia="Garamond" w:hAnsi="Garamond"/>
          <w:b w:val="0"/>
          <w:bCs w:val="0"/>
          <w:i w:val="0"/>
          <w:iCs w:val="0"/>
          <w:smallCaps w:val="0"/>
          <w:strike w:val="0"/>
          <w:color w:val="000000"/>
          <w:sz w:val="16"/>
          <w:szCs w:val="16"/>
          <w:u w:val="none"/>
          <w:shd w:fill="auto" w:val="clear"/>
          <w:vertAlign w:val="baseline"/>
          <w:rtl w:val="0"/>
        </w:rPr>
        <w:t xml:space="preserve">Versión electrónica disponible en el link: </w:t>
      </w:r>
      <w:hyperlink r:id="rId17">
        <w:r w:rsidDel="00000000" w:rsidR="00000000" w:rsidRPr="00000000">
          <w:rPr>
            <w:rFonts w:ascii="Garamond" w:cs="Garamond" w:eastAsia="Garamond" w:hAnsi="Garamond"/>
            <w:b w:val="0"/>
            <w:bCs w:val="0"/>
            <w:i w:val="0"/>
            <w:iCs w:val="0"/>
            <w:smallCaps w:val="0"/>
            <w:strike w:val="0"/>
            <w:color w:val="0000ff"/>
            <w:sz w:val="16"/>
            <w:szCs w:val="16"/>
            <w:u w:val="single"/>
            <w:shd w:fill="auto" w:val="clear"/>
            <w:vertAlign w:val="baseline"/>
            <w:rtl w:val="0"/>
          </w:rPr>
          <w:t xml:space="preserve">https://app.powerbi.com/view?r=eyJrIjoiMGY4MWZmZmUtNGJlYy00YTBlLTgzYmYtZGE2NGRkZDA1YTJlIiwidCI6IjdiMDkwNDFlLTI0NTEtNDlkMC04Y2IxLTc5ZDVlM2Q4YzFiZSIsImMiOjR9&amp;pageName=ReportSection17ad17361e56dd6a009c</w:t>
        </w:r>
      </w:hyperlink>
      <w:r w:rsidDel="00000000" w:rsidR="00000000" w:rsidRPr="00000000">
        <w:rPr>
          <w:rFonts w:ascii="Garamond" w:cs="Garamond" w:eastAsia="Garamond" w:hAnsi="Garamond"/>
          <w:b w:val="0"/>
          <w:bCs w:val="0"/>
          <w:i w:val="0"/>
          <w:iCs w:val="0"/>
          <w:smallCaps w:val="0"/>
          <w:strike w:val="0"/>
          <w:color w:val="000000"/>
          <w:sz w:val="16"/>
          <w:szCs w:val="16"/>
          <w:u w:val="none"/>
          <w:shd w:fill="auto" w:val="clear"/>
          <w:vertAlign w:val="baseline"/>
          <w:rtl w:val="0"/>
        </w:rPr>
        <w:t xml:space="preserve"> consultada el 21/08/2025.</w:t>
      </w:r>
      <w:r w:rsidDel="00000000" w:rsidR="00000000" w:rsidRPr="00000000">
        <w:rPr>
          <w:rtl w:val="0"/>
        </w:rPr>
      </w:r>
    </w:p>
  </w:footnote>
</w:footnote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75">
    <w:pPr>
      <w:keepNext w:val="0"/>
      <w:keepLines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4"/>
        <w:szCs w:val="24"/>
        <w:rtl w:val="0"/>
      </w:rPr>
      <w:t xml:space="preserve">10</w:t>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mc:AlternateContent>
        <mc:Choice Requires="wpg">
          <w:drawing>
            <wp:anchor allowOverlap="1" behindDoc="1" distB="0" distT="0" distL="0" distR="0" hidden="0" layoutInCell="1" locked="0" relativeHeight="0" simplePos="0">
              <wp:simplePos x="0" y="0"/>
              <wp:positionH relativeFrom="page">
                <wp:posOffset>3710304</wp:posOffset>
              </wp:positionH>
              <wp:positionV relativeFrom="page">
                <wp:posOffset>724536</wp:posOffset>
              </wp:positionV>
              <wp:extent cx="3120390" cy="758825"/>
              <wp:effectExtent b="0" l="0" r="0" t="0"/>
              <wp:wrapNone/>
              <wp:docPr id="2" name=""/>
              <a:graphic>
                <a:graphicData uri="http://schemas.microsoft.com/office/word/2010/wordprocessingShape">
                  <wps:wsp>
                    <wps:cNvSpPr/>
                    <wps:cNvPr id="3" name="Shape 3"/>
                    <wps:spPr>
                      <a:xfrm>
                        <a:off x="3795330" y="3410113"/>
                        <a:ext cx="3101340" cy="739775"/>
                      </a:xfrm>
                      <a:prstGeom prst="rect">
                        <a:avLst/>
                      </a:prstGeom>
                      <a:noFill/>
                      <a:ln>
                        <a:noFill/>
                      </a:ln>
                    </wps:spPr>
                    <wps:txbx>
                      <w:txbxContent>
                        <w:p w:rsidR="00000000" w:rsidDel="00000000" w:rsidP="00000000" w:rsidRDefault="00000000" w:rsidRPr="00000000">
                          <w:pPr>
                            <w:spacing w:after="0" w:before="2.0000000298023224" w:line="391.00001335144043"/>
                            <w:ind w:left="0" w:right="60" w:firstLine="-20.999999046325684"/>
                            <w:jc w:val="center"/>
                            <w:textDirection w:val="btLr"/>
                          </w:pPr>
                          <w:r w:rsidDel="00000000" w:rsidR="00000000" w:rsidRPr="00000000">
                            <w:rPr>
                              <w:rFonts w:ascii="Garamond" w:cs="Garamond" w:eastAsia="Garamond" w:hAnsi="Garamond"/>
                              <w:b w:val="1"/>
                              <w:i w:val="0"/>
                              <w:smallCaps w:val="0"/>
                              <w:strike w:val="0"/>
                              <w:color w:val="000000"/>
                              <w:sz w:val="24"/>
                              <w:vertAlign w:val="baseline"/>
                            </w:rPr>
                            <w:t xml:space="preserve">ANÁLISIS DEL SECTOR</w:t>
                          </w:r>
                        </w:p>
                        <w:p w:rsidR="00000000" w:rsidDel="00000000" w:rsidP="00000000" w:rsidRDefault="00000000" w:rsidRPr="00000000">
                          <w:pPr>
                            <w:spacing w:after="0" w:before="2.0000000298023224" w:line="391.00001335144043"/>
                            <w:ind w:left="0" w:right="60" w:firstLine="-20.999999046325684"/>
                            <w:jc w:val="center"/>
                            <w:textDirection w:val="btLr"/>
                          </w:pPr>
                          <w:r w:rsidDel="00000000" w:rsidR="00000000" w:rsidRPr="00000000">
                            <w:rPr>
                              <w:rFonts w:ascii="Garamond" w:cs="Garamond" w:eastAsia="Garamond" w:hAnsi="Garamond"/>
                              <w:b w:val="1"/>
                              <w:i w:val="0"/>
                              <w:smallCaps w:val="0"/>
                              <w:strike w:val="0"/>
                              <w:color w:val="000000"/>
                              <w:sz w:val="24"/>
                              <w:vertAlign w:val="baseline"/>
                            </w:rPr>
                          </w:r>
                          <w:r w:rsidDel="00000000" w:rsidR="00000000" w:rsidRPr="00000000">
                            <w:rPr>
                              <w:rFonts w:ascii="Garamond" w:cs="Garamond" w:eastAsia="Garamond" w:hAnsi="Garamond"/>
                              <w:b w:val="1"/>
                              <w:i w:val="0"/>
                              <w:smallCaps w:val="0"/>
                              <w:strike w:val="0"/>
                              <w:color w:val="000000"/>
                              <w:sz w:val="24"/>
                              <w:vertAlign w:val="baseline"/>
                            </w:rPr>
                            <w:t xml:space="preserve"> LICITACION PUBLICA</w:t>
                          </w:r>
                        </w:p>
                        <w:p w:rsidR="00000000" w:rsidDel="00000000" w:rsidP="00000000" w:rsidRDefault="00000000" w:rsidRPr="00000000">
                          <w:pPr>
                            <w:spacing w:after="0" w:before="0" w:line="230.9999942779541"/>
                            <w:ind w:left="0" w:right="60" w:firstLine="-20.999999046325684"/>
                            <w:jc w:val="center"/>
                            <w:textDirection w:val="btLr"/>
                          </w:pPr>
                          <w:r w:rsidDel="00000000" w:rsidR="00000000" w:rsidRPr="00000000">
                            <w:rPr>
                              <w:rFonts w:ascii="Garamond" w:cs="Garamond" w:eastAsia="Garamond" w:hAnsi="Garamond"/>
                              <w:b w:val="1"/>
                              <w:i w:val="0"/>
                              <w:smallCaps w:val="0"/>
                              <w:strike w:val="0"/>
                              <w:color w:val="000000"/>
                              <w:sz w:val="24"/>
                              <w:vertAlign w:val="baseline"/>
                            </w:rPr>
                          </w:r>
                          <w:r w:rsidDel="00000000" w:rsidR="00000000" w:rsidRPr="00000000">
                            <w:rPr>
                              <w:rFonts w:ascii="Garamond" w:cs="Garamond" w:eastAsia="Garamond" w:hAnsi="Garamond"/>
                              <w:b w:val="1"/>
                              <w:i w:val="0"/>
                              <w:smallCaps w:val="0"/>
                              <w:strike w:val="0"/>
                              <w:color w:val="000000"/>
                              <w:sz w:val="24"/>
                              <w:vertAlign w:val="baseline"/>
                            </w:rPr>
                            <w:t xml:space="preserve">ALCALDIA LOCAL DE SAN CRISTÓBAL</w:t>
                          </w:r>
                        </w:p>
                      </w:txbxContent>
                    </wps:txbx>
                    <wps:bodyPr anchorCtr="0" anchor="t" bIns="0" lIns="0" spcFirstLastPara="1" rIns="0" wrap="square" tIns="0">
                      <a:noAutofit/>
                    </wps:bodyPr>
                  </wps:wsp>
                </a:graphicData>
              </a:graphic>
            </wp:anchor>
          </w:drawing>
        </mc:Choice>
        <mc:Fallback>
          <w:drawing>
            <wp:anchor allowOverlap="1" behindDoc="1" distB="0" distT="0" distL="0" distR="0" hidden="0" layoutInCell="1" locked="0" relativeHeight="0" simplePos="0">
              <wp:simplePos x="0" y="0"/>
              <wp:positionH relativeFrom="page">
                <wp:posOffset>3710304</wp:posOffset>
              </wp:positionH>
              <wp:positionV relativeFrom="page">
                <wp:posOffset>724536</wp:posOffset>
              </wp:positionV>
              <wp:extent cx="3120390" cy="758825"/>
              <wp:effectExtent b="0" l="0" r="0" t="0"/>
              <wp:wrapNone/>
              <wp:docPr id="2" name="image33.png"/>
              <a:graphic>
                <a:graphicData uri="http://schemas.openxmlformats.org/drawingml/2006/picture">
                  <pic:pic>
                    <pic:nvPicPr>
                      <pic:cNvPr id="0" name="image33.png"/>
                      <pic:cNvPicPr preferRelativeResize="0"/>
                    </pic:nvPicPr>
                    <pic:blipFill>
                      <a:blip r:embed="rId1"/>
                      <a:srcRect/>
                      <a:stretch>
                        <a:fillRect/>
                      </a:stretch>
                    </pic:blipFill>
                    <pic:spPr>
                      <a:xfrm>
                        <a:off x="0" y="0"/>
                        <a:ext cx="3120390" cy="758825"/>
                      </a:xfrm>
                      <a:prstGeom prst="rect"/>
                      <a:ln/>
                    </pic:spPr>
                  </pic:pic>
                </a:graphicData>
              </a:graphic>
            </wp:anchor>
          </w:drawing>
        </mc:Fallback>
      </mc:AlternateContent>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drawing>
        <wp:anchor allowOverlap="1" behindDoc="1" distB="0" distT="0" distL="0" distR="0" hidden="0" layoutInCell="1" locked="0" relativeHeight="0" simplePos="0">
          <wp:simplePos x="0" y="0"/>
          <wp:positionH relativeFrom="page">
            <wp:posOffset>1009332</wp:posOffset>
          </wp:positionH>
          <wp:positionV relativeFrom="page">
            <wp:posOffset>696165</wp:posOffset>
          </wp:positionV>
          <wp:extent cx="2057096" cy="504939"/>
          <wp:effectExtent b="0" l="0" r="0" t="0"/>
          <wp:wrapNone/>
          <wp:docPr id="21" name="image2.png"/>
          <a:graphic>
            <a:graphicData uri="http://schemas.openxmlformats.org/drawingml/2006/picture">
              <pic:pic>
                <pic:nvPicPr>
                  <pic:cNvPr id="0" name="image2.png"/>
                  <pic:cNvPicPr preferRelativeResize="0"/>
                </pic:nvPicPr>
                <pic:blipFill>
                  <a:blip r:embed="rId2"/>
                  <a:srcRect b="0" l="0" r="0" t="0"/>
                  <a:stretch>
                    <a:fillRect/>
                  </a:stretch>
                </pic:blipFill>
                <pic:spPr>
                  <a:xfrm>
                    <a:off x="0" y="0"/>
                    <a:ext cx="2057096" cy="504939"/>
                  </a:xfrm>
                  <a:prstGeom prst="rect"/>
                  <a:ln/>
                </pic:spPr>
              </pic:pic>
            </a:graphicData>
          </a:graphic>
        </wp:anchor>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838" w:hanging="360"/>
      </w:pPr>
      <w:rPr>
        <w:rFonts w:ascii="Times New Roman" w:cs="Times New Roman" w:eastAsia="Times New Roman" w:hAnsi="Times New Roman"/>
        <w:sz w:val="24"/>
        <w:szCs w:val="24"/>
      </w:rPr>
    </w:lvl>
    <w:lvl w:ilvl="1">
      <w:start w:val="0"/>
      <w:numFmt w:val="bullet"/>
      <w:lvlText w:val="•"/>
      <w:lvlJc w:val="left"/>
      <w:pPr>
        <w:ind w:left="1722" w:hanging="360"/>
      </w:pPr>
      <w:rPr/>
    </w:lvl>
    <w:lvl w:ilvl="2">
      <w:start w:val="0"/>
      <w:numFmt w:val="bullet"/>
      <w:lvlText w:val="•"/>
      <w:lvlJc w:val="left"/>
      <w:pPr>
        <w:ind w:left="2604" w:hanging="360"/>
      </w:pPr>
      <w:rPr/>
    </w:lvl>
    <w:lvl w:ilvl="3">
      <w:start w:val="0"/>
      <w:numFmt w:val="bullet"/>
      <w:lvlText w:val="•"/>
      <w:lvlJc w:val="left"/>
      <w:pPr>
        <w:ind w:left="3486" w:hanging="360"/>
      </w:pPr>
      <w:rPr/>
    </w:lvl>
    <w:lvl w:ilvl="4">
      <w:start w:val="0"/>
      <w:numFmt w:val="bullet"/>
      <w:lvlText w:val="•"/>
      <w:lvlJc w:val="left"/>
      <w:pPr>
        <w:ind w:left="4368" w:hanging="360"/>
      </w:pPr>
      <w:rPr/>
    </w:lvl>
    <w:lvl w:ilvl="5">
      <w:start w:val="0"/>
      <w:numFmt w:val="bullet"/>
      <w:lvlText w:val="•"/>
      <w:lvlJc w:val="left"/>
      <w:pPr>
        <w:ind w:left="5250" w:hanging="360"/>
      </w:pPr>
      <w:rPr/>
    </w:lvl>
    <w:lvl w:ilvl="6">
      <w:start w:val="0"/>
      <w:numFmt w:val="bullet"/>
      <w:lvlText w:val="•"/>
      <w:lvlJc w:val="left"/>
      <w:pPr>
        <w:ind w:left="6132" w:hanging="360"/>
      </w:pPr>
      <w:rPr/>
    </w:lvl>
    <w:lvl w:ilvl="7">
      <w:start w:val="0"/>
      <w:numFmt w:val="bullet"/>
      <w:lvlText w:val="•"/>
      <w:lvlJc w:val="left"/>
      <w:pPr>
        <w:ind w:left="7014" w:hanging="360"/>
      </w:pPr>
      <w:rPr/>
    </w:lvl>
    <w:lvl w:ilvl="8">
      <w:start w:val="0"/>
      <w:numFmt w:val="bullet"/>
      <w:lvlText w:val="•"/>
      <w:lvlJc w:val="left"/>
      <w:pPr>
        <w:ind w:left="7896" w:hanging="360"/>
      </w:pPr>
      <w:rPr/>
    </w:lvl>
  </w:abstractNum>
  <w:abstractNum w:abstractNumId="2">
    <w:lvl w:ilvl="0">
      <w:start w:val="1"/>
      <w:numFmt w:val="decimal"/>
      <w:lvlText w:val="%1."/>
      <w:lvlJc w:val="left"/>
      <w:pPr>
        <w:ind w:left="118" w:hanging="250"/>
      </w:pPr>
      <w:rPr>
        <w:rFonts w:ascii="Times New Roman" w:cs="Times New Roman" w:eastAsia="Times New Roman" w:hAnsi="Times New Roman"/>
        <w:i w:val="1"/>
        <w:iCs w:val="1"/>
        <w:sz w:val="24"/>
        <w:szCs w:val="24"/>
      </w:rPr>
    </w:lvl>
    <w:lvl w:ilvl="1">
      <w:start w:val="0"/>
      <w:numFmt w:val="bullet"/>
      <w:lvlText w:val="•"/>
      <w:lvlJc w:val="left"/>
      <w:pPr>
        <w:ind w:left="1074" w:hanging="250"/>
      </w:pPr>
      <w:rPr/>
    </w:lvl>
    <w:lvl w:ilvl="2">
      <w:start w:val="0"/>
      <w:numFmt w:val="bullet"/>
      <w:lvlText w:val="•"/>
      <w:lvlJc w:val="left"/>
      <w:pPr>
        <w:ind w:left="2028" w:hanging="250"/>
      </w:pPr>
      <w:rPr/>
    </w:lvl>
    <w:lvl w:ilvl="3">
      <w:start w:val="0"/>
      <w:numFmt w:val="bullet"/>
      <w:lvlText w:val="•"/>
      <w:lvlJc w:val="left"/>
      <w:pPr>
        <w:ind w:left="2982" w:hanging="250"/>
      </w:pPr>
      <w:rPr/>
    </w:lvl>
    <w:lvl w:ilvl="4">
      <w:start w:val="0"/>
      <w:numFmt w:val="bullet"/>
      <w:lvlText w:val="•"/>
      <w:lvlJc w:val="left"/>
      <w:pPr>
        <w:ind w:left="3936" w:hanging="250"/>
      </w:pPr>
      <w:rPr/>
    </w:lvl>
    <w:lvl w:ilvl="5">
      <w:start w:val="0"/>
      <w:numFmt w:val="bullet"/>
      <w:lvlText w:val="•"/>
      <w:lvlJc w:val="left"/>
      <w:pPr>
        <w:ind w:left="4890" w:hanging="250"/>
      </w:pPr>
      <w:rPr/>
    </w:lvl>
    <w:lvl w:ilvl="6">
      <w:start w:val="0"/>
      <w:numFmt w:val="bullet"/>
      <w:lvlText w:val="•"/>
      <w:lvlJc w:val="left"/>
      <w:pPr>
        <w:ind w:left="5844" w:hanging="250"/>
      </w:pPr>
      <w:rPr/>
    </w:lvl>
    <w:lvl w:ilvl="7">
      <w:start w:val="0"/>
      <w:numFmt w:val="bullet"/>
      <w:lvlText w:val="•"/>
      <w:lvlJc w:val="left"/>
      <w:pPr>
        <w:ind w:left="6798" w:hanging="250"/>
      </w:pPr>
      <w:rPr/>
    </w:lvl>
    <w:lvl w:ilvl="8">
      <w:start w:val="0"/>
      <w:numFmt w:val="bullet"/>
      <w:lvlText w:val="•"/>
      <w:lvlJc w:val="left"/>
      <w:pPr>
        <w:ind w:left="7752" w:hanging="250"/>
      </w:pPr>
      <w:rPr/>
    </w:lvl>
  </w:abstractNum>
  <w:abstractNum w:abstractNumId="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6">
    <w:lvl w:ilvl="0">
      <w:start w:val="6"/>
      <w:numFmt w:val="decimal"/>
      <w:lvlText w:val="%1."/>
      <w:lvlJc w:val="left"/>
      <w:pPr>
        <w:ind w:left="360" w:hanging="360"/>
      </w:pPr>
      <w:rPr/>
    </w:lvl>
    <w:lvl w:ilvl="1">
      <w:start w:val="2"/>
      <w:numFmt w:val="decimal"/>
      <w:lvlText w:val="%1.%2."/>
      <w:lvlJc w:val="left"/>
      <w:pPr>
        <w:ind w:left="720" w:hanging="720"/>
      </w:pPr>
      <w:rPr/>
    </w:lvl>
    <w:lvl w:ilvl="2">
      <w:start w:val="1"/>
      <w:numFmt w:val="decimal"/>
      <w:lvlText w:val="%1.%2.%3."/>
      <w:lvlJc w:val="left"/>
      <w:pPr>
        <w:ind w:left="720" w:hanging="720"/>
      </w:pPr>
      <w:rPr/>
    </w:lvl>
    <w:lvl w:ilvl="3">
      <w:start w:val="1"/>
      <w:numFmt w:val="decimal"/>
      <w:lvlText w:val="%1.%2.%3.%4."/>
      <w:lvlJc w:val="left"/>
      <w:pPr>
        <w:ind w:left="1080" w:hanging="1080"/>
      </w:pPr>
      <w:rPr/>
    </w:lvl>
    <w:lvl w:ilvl="4">
      <w:start w:val="1"/>
      <w:numFmt w:val="decimal"/>
      <w:lvlText w:val="%1.%2.%3.%4.%5."/>
      <w:lvlJc w:val="left"/>
      <w:pPr>
        <w:ind w:left="1440" w:hanging="1440"/>
      </w:pPr>
      <w:rPr/>
    </w:lvl>
    <w:lvl w:ilvl="5">
      <w:start w:val="1"/>
      <w:numFmt w:val="decimal"/>
      <w:lvlText w:val="%1.%2.%3.%4.%5.%6."/>
      <w:lvlJc w:val="left"/>
      <w:pPr>
        <w:ind w:left="1440" w:hanging="1440"/>
      </w:pPr>
      <w:rPr/>
    </w:lvl>
    <w:lvl w:ilvl="6">
      <w:start w:val="1"/>
      <w:numFmt w:val="decimal"/>
      <w:lvlText w:val="%1.%2.%3.%4.%5.%6.%7."/>
      <w:lvlJc w:val="left"/>
      <w:pPr>
        <w:ind w:left="1800" w:hanging="1800"/>
      </w:pPr>
      <w:rPr/>
    </w:lvl>
    <w:lvl w:ilvl="7">
      <w:start w:val="1"/>
      <w:numFmt w:val="decimal"/>
      <w:lvlText w:val="%1.%2.%3.%4.%5.%6.%7.%8."/>
      <w:lvlJc w:val="left"/>
      <w:pPr>
        <w:ind w:left="1800" w:hanging="1800"/>
      </w:pPr>
      <w:rPr/>
    </w:lvl>
    <w:lvl w:ilvl="8">
      <w:start w:val="1"/>
      <w:numFmt w:val="decimal"/>
      <w:lvlText w:val="%1.%2.%3.%4.%5.%6.%7.%8.%9."/>
      <w:lvlJc w:val="left"/>
      <w:pPr>
        <w:ind w:left="2160" w:hanging="2160"/>
      </w:pPr>
      <w:rPr/>
    </w:lvl>
  </w:abstractNum>
  <w:abstractNum w:abstractNumId="7">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8">
    <w:lvl w:ilvl="0">
      <w:start w:val="1"/>
      <w:numFmt w:val="bullet"/>
      <w:lvlText w:val="●"/>
      <w:lvlJc w:val="left"/>
      <w:pPr>
        <w:ind w:left="708" w:hanging="360"/>
      </w:pPr>
      <w:rPr>
        <w:rFonts w:ascii="Noto Sans Symbols" w:cs="Noto Sans Symbols" w:eastAsia="Noto Sans Symbols" w:hAnsi="Noto Sans Symbols"/>
      </w:rPr>
    </w:lvl>
    <w:lvl w:ilvl="1">
      <w:start w:val="1"/>
      <w:numFmt w:val="bullet"/>
      <w:lvlText w:val="o"/>
      <w:lvlJc w:val="left"/>
      <w:pPr>
        <w:ind w:left="1428" w:hanging="360"/>
      </w:pPr>
      <w:rPr>
        <w:rFonts w:ascii="Courier New" w:cs="Courier New" w:eastAsia="Courier New" w:hAnsi="Courier New"/>
      </w:rPr>
    </w:lvl>
    <w:lvl w:ilvl="2">
      <w:start w:val="1"/>
      <w:numFmt w:val="bullet"/>
      <w:lvlText w:val="▪"/>
      <w:lvlJc w:val="left"/>
      <w:pPr>
        <w:ind w:left="2148" w:hanging="360"/>
      </w:pPr>
      <w:rPr>
        <w:rFonts w:ascii="Noto Sans Symbols" w:cs="Noto Sans Symbols" w:eastAsia="Noto Sans Symbols" w:hAnsi="Noto Sans Symbols"/>
      </w:rPr>
    </w:lvl>
    <w:lvl w:ilvl="3">
      <w:start w:val="1"/>
      <w:numFmt w:val="bullet"/>
      <w:lvlText w:val="●"/>
      <w:lvlJc w:val="left"/>
      <w:pPr>
        <w:ind w:left="2868" w:hanging="360"/>
      </w:pPr>
      <w:rPr>
        <w:rFonts w:ascii="Noto Sans Symbols" w:cs="Noto Sans Symbols" w:eastAsia="Noto Sans Symbols" w:hAnsi="Noto Sans Symbols"/>
      </w:rPr>
    </w:lvl>
    <w:lvl w:ilvl="4">
      <w:start w:val="1"/>
      <w:numFmt w:val="bullet"/>
      <w:lvlText w:val="o"/>
      <w:lvlJc w:val="left"/>
      <w:pPr>
        <w:ind w:left="3588" w:hanging="360"/>
      </w:pPr>
      <w:rPr>
        <w:rFonts w:ascii="Courier New" w:cs="Courier New" w:eastAsia="Courier New" w:hAnsi="Courier New"/>
      </w:rPr>
    </w:lvl>
    <w:lvl w:ilvl="5">
      <w:start w:val="1"/>
      <w:numFmt w:val="bullet"/>
      <w:lvlText w:val="▪"/>
      <w:lvlJc w:val="left"/>
      <w:pPr>
        <w:ind w:left="4308" w:hanging="360"/>
      </w:pPr>
      <w:rPr>
        <w:rFonts w:ascii="Noto Sans Symbols" w:cs="Noto Sans Symbols" w:eastAsia="Noto Sans Symbols" w:hAnsi="Noto Sans Symbols"/>
      </w:rPr>
    </w:lvl>
    <w:lvl w:ilvl="6">
      <w:start w:val="1"/>
      <w:numFmt w:val="bullet"/>
      <w:lvlText w:val="●"/>
      <w:lvlJc w:val="left"/>
      <w:pPr>
        <w:ind w:left="5028" w:hanging="360"/>
      </w:pPr>
      <w:rPr>
        <w:rFonts w:ascii="Noto Sans Symbols" w:cs="Noto Sans Symbols" w:eastAsia="Noto Sans Symbols" w:hAnsi="Noto Sans Symbols"/>
      </w:rPr>
    </w:lvl>
    <w:lvl w:ilvl="7">
      <w:start w:val="1"/>
      <w:numFmt w:val="bullet"/>
      <w:lvlText w:val="o"/>
      <w:lvlJc w:val="left"/>
      <w:pPr>
        <w:ind w:left="5748" w:hanging="360"/>
      </w:pPr>
      <w:rPr>
        <w:rFonts w:ascii="Courier New" w:cs="Courier New" w:eastAsia="Courier New" w:hAnsi="Courier New"/>
      </w:rPr>
    </w:lvl>
    <w:lvl w:ilvl="8">
      <w:start w:val="1"/>
      <w:numFmt w:val="bullet"/>
      <w:lvlText w:val="▪"/>
      <w:lvlJc w:val="left"/>
      <w:pPr>
        <w:ind w:left="6468" w:hanging="360"/>
      </w:pPr>
      <w:rPr>
        <w:rFonts w:ascii="Noto Sans Symbols" w:cs="Noto Sans Symbols" w:eastAsia="Noto Sans Symbols" w:hAnsi="Noto Sans Symbols"/>
      </w:rPr>
    </w:lvl>
  </w:abstractNum>
  <w:abstractNum w:abstractNumId="9">
    <w:lvl w:ilvl="0">
      <w:start w:val="3"/>
      <w:numFmt w:val="decimal"/>
      <w:lvlText w:val="%1"/>
      <w:lvlJc w:val="left"/>
      <w:pPr>
        <w:ind w:left="838" w:hanging="720"/>
      </w:pPr>
      <w:rPr/>
    </w:lvl>
    <w:lvl w:ilvl="1">
      <w:start w:val="2"/>
      <w:numFmt w:val="decimal"/>
      <w:lvlText w:val="%1.%2."/>
      <w:lvlJc w:val="left"/>
      <w:pPr>
        <w:ind w:left="838" w:hanging="720"/>
      </w:pPr>
      <w:rPr>
        <w:rFonts w:ascii="Times New Roman" w:cs="Times New Roman" w:eastAsia="Times New Roman" w:hAnsi="Times New Roman"/>
        <w:b w:val="1"/>
        <w:bCs w:val="1"/>
        <w:sz w:val="24"/>
        <w:szCs w:val="24"/>
      </w:rPr>
    </w:lvl>
    <w:lvl w:ilvl="2">
      <w:start w:val="1"/>
      <w:numFmt w:val="decimal"/>
      <w:lvlText w:val="%1.%2.%3."/>
      <w:lvlJc w:val="left"/>
      <w:pPr>
        <w:ind w:left="838" w:hanging="720"/>
      </w:pPr>
      <w:rPr>
        <w:rFonts w:ascii="Garamond" w:cs="Garamond" w:eastAsia="Garamond" w:hAnsi="Garamond"/>
        <w:b w:val="1"/>
        <w:bCs w:val="1"/>
        <w:sz w:val="24"/>
        <w:szCs w:val="24"/>
      </w:rPr>
    </w:lvl>
    <w:lvl w:ilvl="3">
      <w:start w:val="0"/>
      <w:numFmt w:val="bullet"/>
      <w:lvlText w:val="•"/>
      <w:lvlJc w:val="left"/>
      <w:pPr>
        <w:ind w:left="3486" w:hanging="720"/>
      </w:pPr>
      <w:rPr/>
    </w:lvl>
    <w:lvl w:ilvl="4">
      <w:start w:val="0"/>
      <w:numFmt w:val="bullet"/>
      <w:lvlText w:val="•"/>
      <w:lvlJc w:val="left"/>
      <w:pPr>
        <w:ind w:left="4368" w:hanging="720"/>
      </w:pPr>
      <w:rPr/>
    </w:lvl>
    <w:lvl w:ilvl="5">
      <w:start w:val="0"/>
      <w:numFmt w:val="bullet"/>
      <w:lvlText w:val="•"/>
      <w:lvlJc w:val="left"/>
      <w:pPr>
        <w:ind w:left="5250" w:hanging="720"/>
      </w:pPr>
      <w:rPr/>
    </w:lvl>
    <w:lvl w:ilvl="6">
      <w:start w:val="0"/>
      <w:numFmt w:val="bullet"/>
      <w:lvlText w:val="•"/>
      <w:lvlJc w:val="left"/>
      <w:pPr>
        <w:ind w:left="6132" w:hanging="720"/>
      </w:pPr>
      <w:rPr/>
    </w:lvl>
    <w:lvl w:ilvl="7">
      <w:start w:val="0"/>
      <w:numFmt w:val="bullet"/>
      <w:lvlText w:val="•"/>
      <w:lvlJc w:val="left"/>
      <w:pPr>
        <w:ind w:left="7014" w:hanging="720"/>
      </w:pPr>
      <w:rPr/>
    </w:lvl>
    <w:lvl w:ilvl="8">
      <w:start w:val="0"/>
      <w:numFmt w:val="bullet"/>
      <w:lvlText w:val="•"/>
      <w:lvlJc w:val="left"/>
      <w:pPr>
        <w:ind w:left="7896" w:hanging="720"/>
      </w:pPr>
      <w:rPr/>
    </w:lvl>
  </w:abstractNum>
  <w:abstractNum w:abstractNumId="10">
    <w:lvl w:ilvl="0">
      <w:start w:val="1"/>
      <w:numFmt w:val="decimal"/>
      <w:lvlText w:val="%1."/>
      <w:lvlJc w:val="left"/>
      <w:pPr>
        <w:ind w:left="402" w:hanging="283.9999999999999"/>
      </w:pPr>
      <w:rPr>
        <w:rFonts w:ascii="Times New Roman" w:cs="Times New Roman" w:eastAsia="Times New Roman" w:hAnsi="Times New Roman"/>
        <w:b w:val="1"/>
        <w:bCs w:val="1"/>
        <w:sz w:val="24"/>
        <w:szCs w:val="24"/>
      </w:rPr>
    </w:lvl>
    <w:lvl w:ilvl="1">
      <w:start w:val="1"/>
      <w:numFmt w:val="decimal"/>
      <w:lvlText w:val="%1.%2"/>
      <w:lvlJc w:val="left"/>
      <w:pPr>
        <w:ind w:left="838" w:hanging="720"/>
      </w:pPr>
      <w:rPr>
        <w:rFonts w:ascii="Times New Roman" w:cs="Times New Roman" w:eastAsia="Times New Roman" w:hAnsi="Times New Roman"/>
        <w:b w:val="1"/>
        <w:bCs w:val="1"/>
        <w:sz w:val="24"/>
        <w:szCs w:val="24"/>
      </w:rPr>
    </w:lvl>
    <w:lvl w:ilvl="2">
      <w:start w:val="0"/>
      <w:numFmt w:val="bullet"/>
      <w:lvlText w:val="•"/>
      <w:lvlJc w:val="left"/>
      <w:pPr>
        <w:ind w:left="1820" w:hanging="720"/>
      </w:pPr>
      <w:rPr/>
    </w:lvl>
    <w:lvl w:ilvl="3">
      <w:start w:val="0"/>
      <w:numFmt w:val="bullet"/>
      <w:lvlText w:val="•"/>
      <w:lvlJc w:val="left"/>
      <w:pPr>
        <w:ind w:left="2800" w:hanging="720"/>
      </w:pPr>
      <w:rPr/>
    </w:lvl>
    <w:lvl w:ilvl="4">
      <w:start w:val="0"/>
      <w:numFmt w:val="bullet"/>
      <w:lvlText w:val="•"/>
      <w:lvlJc w:val="left"/>
      <w:pPr>
        <w:ind w:left="3780" w:hanging="720"/>
      </w:pPr>
      <w:rPr/>
    </w:lvl>
    <w:lvl w:ilvl="5">
      <w:start w:val="0"/>
      <w:numFmt w:val="bullet"/>
      <w:lvlText w:val="•"/>
      <w:lvlJc w:val="left"/>
      <w:pPr>
        <w:ind w:left="4760" w:hanging="720"/>
      </w:pPr>
      <w:rPr/>
    </w:lvl>
    <w:lvl w:ilvl="6">
      <w:start w:val="0"/>
      <w:numFmt w:val="bullet"/>
      <w:lvlText w:val="•"/>
      <w:lvlJc w:val="left"/>
      <w:pPr>
        <w:ind w:left="5740" w:hanging="720"/>
      </w:pPr>
      <w:rPr/>
    </w:lvl>
    <w:lvl w:ilvl="7">
      <w:start w:val="0"/>
      <w:numFmt w:val="bullet"/>
      <w:lvlText w:val="•"/>
      <w:lvlJc w:val="left"/>
      <w:pPr>
        <w:ind w:left="6720" w:hanging="720"/>
      </w:pPr>
      <w:rPr/>
    </w:lvl>
    <w:lvl w:ilvl="8">
      <w:start w:val="0"/>
      <w:numFmt w:val="bullet"/>
      <w:lvlText w:val="•"/>
      <w:lvlJc w:val="left"/>
      <w:pPr>
        <w:ind w:left="7700" w:hanging="720"/>
      </w:pPr>
      <w:rPr/>
    </w:lvl>
  </w:abstractNum>
  <w:abstractNum w:abstractNumId="11">
    <w:lvl w:ilvl="0">
      <w:start w:val="1"/>
      <w:numFmt w:val="bullet"/>
      <w:lvlText w:val="●"/>
      <w:lvlJc w:val="left"/>
      <w:pPr>
        <w:ind w:left="720" w:hanging="360"/>
      </w:pPr>
      <w:rPr>
        <w:rFonts w:ascii="Noto Sans Symbols" w:cs="Noto Sans Symbols" w:eastAsia="Noto Sans Symbols" w:hAnsi="Noto Sans Symbols"/>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2"/>
        <w:szCs w:val="22"/>
        <w:lang w:val="es-CO"/>
      </w:rPr>
    </w:rPrDefault>
    <w:pPrDefault>
      <w:pPr>
        <w:widowControl w:val="0"/>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ind w:left="838" w:hanging="721"/>
    </w:pPr>
    <w:rPr>
      <w:b w:val="1"/>
      <w:bCs w:val="1"/>
      <w:sz w:val="24"/>
      <w:szCs w:val="24"/>
    </w:rPr>
  </w:style>
  <w:style w:type="paragraph" w:styleId="Heading2">
    <w:name w:val="heading 2"/>
    <w:basedOn w:val="Normal"/>
    <w:next w:val="Normal"/>
    <w:pPr>
      <w:keepNext w:val="1"/>
      <w:keepLines w:val="1"/>
      <w:spacing w:before="40" w:lineRule="auto"/>
    </w:pPr>
    <w:rPr>
      <w:rFonts w:ascii="Cambria" w:cs="Cambria" w:eastAsia="Cambria" w:hAnsi="Cambria"/>
      <w:color w:val="366091"/>
      <w:sz w:val="26"/>
      <w:szCs w:val="26"/>
    </w:rPr>
  </w:style>
  <w:style w:type="paragraph" w:styleId="Heading3">
    <w:name w:val="heading 3"/>
    <w:basedOn w:val="Normal"/>
    <w:next w:val="Normal"/>
    <w:pPr>
      <w:keepNext w:val="1"/>
      <w:keepLines w:val="1"/>
      <w:spacing w:before="40" w:lineRule="auto"/>
    </w:pPr>
    <w:rPr>
      <w:rFonts w:ascii="Cambria" w:cs="Cambria" w:eastAsia="Cambria" w:hAnsi="Cambria"/>
      <w:color w:val="243f61"/>
      <w:sz w:val="24"/>
      <w:szCs w:val="24"/>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pPr>
      <w:widowControl w:val="1"/>
    </w:pPr>
    <w:tblPr>
      <w:tblStyleRowBandSize w:val="1"/>
      <w:tblStyleColBandSize w:val="1"/>
      <w:tblCellMar>
        <w:top w:w="0.0" w:type="dxa"/>
        <w:left w:w="108.0" w:type="dxa"/>
        <w:bottom w:w="0.0" w:type="dxa"/>
        <w:right w:w="108.0" w:type="dxa"/>
      </w:tblCellMar>
    </w:tblPr>
  </w:style>
  <w:style w:type="table" w:styleId="Table3">
    <w:basedOn w:val="TableNormal"/>
    <w:pPr>
      <w:widowControl w:val="1"/>
    </w:pPr>
    <w:tblPr>
      <w:tblStyleRowBandSize w:val="1"/>
      <w:tblStyleColBandSize w:val="1"/>
      <w:tblCellMar>
        <w:top w:w="0.0" w:type="dxa"/>
        <w:left w:w="108.0" w:type="dxa"/>
        <w:bottom w:w="0.0" w:type="dxa"/>
        <w:right w:w="108.0" w:type="dxa"/>
      </w:tblCellMar>
    </w:tblPr>
  </w:style>
  <w:style w:type="table" w:styleId="Table4">
    <w:basedOn w:val="TableNormal"/>
    <w:tblPr>
      <w:tblStyleRowBandSize w:val="1"/>
      <w:tblStyleColBandSize w:val="1"/>
      <w:tblCellMar>
        <w:top w:w="0.0" w:type="dxa"/>
        <w:left w:w="0.0" w:type="dxa"/>
        <w:bottom w:w="0.0" w:type="dxa"/>
        <w:right w:w="0.0" w:type="dxa"/>
      </w:tblCellMar>
    </w:tblPr>
  </w:style>
  <w:style w:type="table" w:styleId="Table5">
    <w:basedOn w:val="TableNormal"/>
    <w:tblPr>
      <w:tblStyleRowBandSize w:val="1"/>
      <w:tblStyleColBandSize w:val="1"/>
      <w:tblCellMar>
        <w:top w:w="0.0" w:type="dxa"/>
        <w:left w:w="0.0" w:type="dxa"/>
        <w:bottom w:w="0.0" w:type="dxa"/>
        <w:right w:w="0.0" w:type="dxa"/>
      </w:tblCellMar>
    </w:tblPr>
  </w:style>
  <w:style w:type="table" w:styleId="Table6">
    <w:basedOn w:val="TableNormal"/>
    <w:tblPr>
      <w:tblStyleRowBandSize w:val="1"/>
      <w:tblStyleColBandSize w:val="1"/>
      <w:tblCellMar>
        <w:top w:w="0.0" w:type="dxa"/>
        <w:left w:w="0.0" w:type="dxa"/>
        <w:bottom w:w="0.0" w:type="dxa"/>
        <w:right w:w="0.0" w:type="dxa"/>
      </w:tblCellMar>
    </w:tblPr>
  </w:style>
  <w:style w:type="table" w:styleId="Table7">
    <w:basedOn w:val="TableNormal"/>
    <w:tblPr>
      <w:tblStyleRowBandSize w:val="1"/>
      <w:tblStyleColBandSize w:val="1"/>
      <w:tblCellMar>
        <w:top w:w="0.0" w:type="dxa"/>
        <w:left w:w="0.0" w:type="dxa"/>
        <w:bottom w:w="0.0" w:type="dxa"/>
        <w:right w:w="0.0" w:type="dxa"/>
      </w:tblCellMar>
    </w:tblPr>
  </w:style>
  <w:style w:type="table" w:styleId="Table8">
    <w:basedOn w:val="TableNormal"/>
    <w:tblPr>
      <w:tblStyleRowBandSize w:val="1"/>
      <w:tblStyleColBandSize w:val="1"/>
      <w:tblCellMar>
        <w:top w:w="0.0" w:type="dxa"/>
        <w:left w:w="70.0" w:type="dxa"/>
        <w:bottom w:w="0.0" w:type="dxa"/>
        <w:right w:w="70.0" w:type="dxa"/>
      </w:tblCellMar>
    </w:tblPr>
  </w:style>
  <w:style w:type="table" w:styleId="Table9">
    <w:basedOn w:val="TableNormal"/>
    <w:tblPr>
      <w:tblStyleRowBandSize w:val="1"/>
      <w:tblStyleColBandSize w:val="1"/>
      <w:tblCellMar>
        <w:top w:w="0.0" w:type="dxa"/>
        <w:left w:w="70.0" w:type="dxa"/>
        <w:bottom w:w="0.0" w:type="dxa"/>
        <w:right w:w="70.0" w:type="dxa"/>
      </w:tblCellMar>
    </w:tblPr>
  </w:style>
  <w:style w:type="table" w:styleId="Table10">
    <w:basedOn w:val="TableNormal"/>
    <w:tblPr>
      <w:tblStyleRowBandSize w:val="1"/>
      <w:tblStyleColBandSize w:val="1"/>
      <w:tblCellMar>
        <w:top w:w="0.0" w:type="dxa"/>
        <w:left w:w="70.0" w:type="dxa"/>
        <w:bottom w:w="0.0" w:type="dxa"/>
        <w:right w:w="70.0" w:type="dxa"/>
      </w:tblCellMar>
    </w:tblPr>
  </w:style>
  <w:style w:type="table" w:styleId="Table11">
    <w:basedOn w:val="TableNormal"/>
    <w:tblPr>
      <w:tblStyleRowBandSize w:val="1"/>
      <w:tblStyleColBandSize w:val="1"/>
      <w:tblCellMar>
        <w:top w:w="0.0" w:type="dxa"/>
        <w:left w:w="70.0" w:type="dxa"/>
        <w:bottom w:w="0.0" w:type="dxa"/>
        <w:right w:w="7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11.png"/><Relationship Id="rId42" Type="http://schemas.openxmlformats.org/officeDocument/2006/relationships/image" Target="media/image20.png"/><Relationship Id="rId41" Type="http://schemas.openxmlformats.org/officeDocument/2006/relationships/image" Target="media/image23.png"/><Relationship Id="rId44" Type="http://schemas.openxmlformats.org/officeDocument/2006/relationships/image" Target="media/image9.png"/><Relationship Id="rId43" Type="http://schemas.openxmlformats.org/officeDocument/2006/relationships/image" Target="media/image10.png"/><Relationship Id="rId46" Type="http://schemas.openxmlformats.org/officeDocument/2006/relationships/image" Target="media/image15.png"/><Relationship Id="rId45" Type="http://schemas.openxmlformats.org/officeDocument/2006/relationships/image" Target="media/image14.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yperlink" Target="https://veinte.mx/catalogos/productos/grupo/4323" TargetMode="External"/><Relationship Id="rId48" Type="http://schemas.openxmlformats.org/officeDocument/2006/relationships/image" Target="media/image13.png"/><Relationship Id="rId47" Type="http://schemas.openxmlformats.org/officeDocument/2006/relationships/image" Target="media/image4.png"/><Relationship Id="rId49" Type="http://schemas.openxmlformats.org/officeDocument/2006/relationships/image" Target="media/image28.png"/><Relationship Id="rId5" Type="http://schemas.openxmlformats.org/officeDocument/2006/relationships/numbering" Target="numbering.xml"/><Relationship Id="rId6" Type="http://schemas.openxmlformats.org/officeDocument/2006/relationships/styles" Target="styles.xml"/><Relationship Id="rId7" Type="http://schemas.openxmlformats.org/officeDocument/2006/relationships/customXml" Target="../customXML/item1.xml"/><Relationship Id="rId8" Type="http://schemas.openxmlformats.org/officeDocument/2006/relationships/hyperlink" Target="https://veinte.mx/catalogos/productos/43" TargetMode="External"/><Relationship Id="rId31" Type="http://schemas.openxmlformats.org/officeDocument/2006/relationships/image" Target="media/image29.png"/><Relationship Id="rId30" Type="http://schemas.openxmlformats.org/officeDocument/2006/relationships/image" Target="media/image5.png"/><Relationship Id="rId33" Type="http://schemas.openxmlformats.org/officeDocument/2006/relationships/hyperlink" Target="https://economipedia.com/definiciones/empresa.html" TargetMode="External"/><Relationship Id="rId32" Type="http://schemas.openxmlformats.org/officeDocument/2006/relationships/hyperlink" Target="https://www.dane.gov.co/files/operaciones/EMS/bol-EMS-feb2026.pdf" TargetMode="External"/><Relationship Id="rId35" Type="http://schemas.openxmlformats.org/officeDocument/2006/relationships/hyperlink" Target="https://economipedia.com/definiciones/cliente.html" TargetMode="External"/><Relationship Id="rId34" Type="http://schemas.openxmlformats.org/officeDocument/2006/relationships/hyperlink" Target="https://economipedia.com/definiciones/produccion.html" TargetMode="External"/><Relationship Id="rId37" Type="http://schemas.openxmlformats.org/officeDocument/2006/relationships/hyperlink" Target="https://economipedia.com/definiciones/competitividad.html" TargetMode="External"/><Relationship Id="rId36" Type="http://schemas.openxmlformats.org/officeDocument/2006/relationships/hyperlink" Target="https://economipedia.com/definiciones/propiedad.html" TargetMode="External"/><Relationship Id="rId39" Type="http://schemas.openxmlformats.org/officeDocument/2006/relationships/image" Target="media/image33.png"/><Relationship Id="rId38" Type="http://schemas.openxmlformats.org/officeDocument/2006/relationships/image" Target="media/image25.png"/><Relationship Id="rId20" Type="http://schemas.openxmlformats.org/officeDocument/2006/relationships/image" Target="media/image31.png"/><Relationship Id="rId22" Type="http://schemas.openxmlformats.org/officeDocument/2006/relationships/hyperlink" Target="https://www.banrep.gov.co/en/node/29194" TargetMode="External"/><Relationship Id="rId21" Type="http://schemas.openxmlformats.org/officeDocument/2006/relationships/image" Target="media/image16.png"/><Relationship Id="rId24" Type="http://schemas.openxmlformats.org/officeDocument/2006/relationships/image" Target="media/image8.png"/><Relationship Id="rId23" Type="http://schemas.openxmlformats.org/officeDocument/2006/relationships/hyperlink" Target="https://www.banrep.gov.co/en/node/29194" TargetMode="External"/><Relationship Id="rId26" Type="http://schemas.openxmlformats.org/officeDocument/2006/relationships/image" Target="media/image21.png"/><Relationship Id="rId25" Type="http://schemas.openxmlformats.org/officeDocument/2006/relationships/image" Target="media/image19.png"/><Relationship Id="rId28" Type="http://schemas.openxmlformats.org/officeDocument/2006/relationships/image" Target="media/image3.png"/><Relationship Id="rId27" Type="http://schemas.openxmlformats.org/officeDocument/2006/relationships/image" Target="media/image6.png"/><Relationship Id="rId29" Type="http://schemas.openxmlformats.org/officeDocument/2006/relationships/image" Target="media/image1.png"/><Relationship Id="rId51" Type="http://schemas.openxmlformats.org/officeDocument/2006/relationships/image" Target="media/image22.png"/><Relationship Id="rId50" Type="http://schemas.openxmlformats.org/officeDocument/2006/relationships/image" Target="media/image18.png"/><Relationship Id="rId53" Type="http://schemas.openxmlformats.org/officeDocument/2006/relationships/footer" Target="footer1.xml"/><Relationship Id="rId52" Type="http://schemas.openxmlformats.org/officeDocument/2006/relationships/header" Target="header1.xml"/><Relationship Id="rId11" Type="http://schemas.openxmlformats.org/officeDocument/2006/relationships/image" Target="media/image27.png"/><Relationship Id="rId10" Type="http://schemas.openxmlformats.org/officeDocument/2006/relationships/hyperlink" Target="https://veinte.mx/catalogos/productos/43" TargetMode="External"/><Relationship Id="rId13" Type="http://schemas.openxmlformats.org/officeDocument/2006/relationships/image" Target="media/image12.png"/><Relationship Id="rId12" Type="http://schemas.openxmlformats.org/officeDocument/2006/relationships/hyperlink" Target="https://investigaciones.corfi.com/documents/d/investigaciones-economicas/01-2026-informe-de-dinamica-sectorial-servicios-1-pdf" TargetMode="External"/><Relationship Id="rId15" Type="http://schemas.openxmlformats.org/officeDocument/2006/relationships/hyperlink" Target="https://enciclopedia.banrepcultural.org/index.php/Sectores_econ%C3%B3micos#Divisi.C3.B3n_seg.C3.BAn_la_econom.C3.ADa_cl.C3.A1sica" TargetMode="External"/><Relationship Id="rId14" Type="http://schemas.openxmlformats.org/officeDocument/2006/relationships/image" Target="media/image24.png"/><Relationship Id="rId17" Type="http://schemas.openxmlformats.org/officeDocument/2006/relationships/image" Target="media/image7.png"/><Relationship Id="rId16" Type="http://schemas.openxmlformats.org/officeDocument/2006/relationships/hyperlink" Target="https://enciclopedia.banrepcultural.org/index.php/Sectores_econ%C3%B3micos#Divisi.C3.B3n_seg.C3.BAn_la_econom.C3.ADa_cl.C3.A1sica" TargetMode="External"/><Relationship Id="rId19" Type="http://schemas.openxmlformats.org/officeDocument/2006/relationships/image" Target="media/image30.png"/><Relationship Id="rId18" Type="http://schemas.openxmlformats.org/officeDocument/2006/relationships/image" Target="media/image26.png"/></Relationships>
</file>

<file path=word/_rels/fontTable.xml.rels><?xml version="1.0" encoding="UTF-8" standalone="yes"?><Relationships xmlns="http://schemas.openxmlformats.org/package/2006/relationships"><Relationship Id="rId10" Type="http://schemas.openxmlformats.org/officeDocument/2006/relationships/font" Target="fonts/NotoSansSymbols-bold.ttf"/><Relationship Id="rId1" Type="http://schemas.openxmlformats.org/officeDocument/2006/relationships/font" Target="fonts/Garamond-regular.ttf"/><Relationship Id="rId2" Type="http://schemas.openxmlformats.org/officeDocument/2006/relationships/font" Target="fonts/Garamond-bold.ttf"/><Relationship Id="rId3" Type="http://schemas.openxmlformats.org/officeDocument/2006/relationships/font" Target="fonts/Garamond-italic.ttf"/><Relationship Id="rId4" Type="http://schemas.openxmlformats.org/officeDocument/2006/relationships/font" Target="fonts/Garamond-boldItalic.ttf"/><Relationship Id="rId9" Type="http://schemas.openxmlformats.org/officeDocument/2006/relationships/font" Target="fonts/NotoSansSymbols-regular.ttf"/><Relationship Id="rId5" Type="http://schemas.openxmlformats.org/officeDocument/2006/relationships/font" Target="fonts/ArialNarrow-regular.ttf"/><Relationship Id="rId6" Type="http://schemas.openxmlformats.org/officeDocument/2006/relationships/font" Target="fonts/ArialNarrow-bold.ttf"/><Relationship Id="rId7" Type="http://schemas.openxmlformats.org/officeDocument/2006/relationships/font" Target="fonts/ArialNarrow-italic.ttf"/><Relationship Id="rId8" Type="http://schemas.openxmlformats.org/officeDocument/2006/relationships/font" Target="fonts/ArialNarrow-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33.png"/><Relationship Id="rId2" Type="http://schemas.openxmlformats.org/officeDocument/2006/relationships/image" Target="media/image17.png"/></Relationships>
</file>

<file path=word/_rels/footnotes.xml.rels><?xml version="1.0" encoding="UTF-8" standalone="yes"?><Relationships xmlns="http://schemas.openxmlformats.org/package/2006/relationships"><Relationship Id="rId11" Type="http://schemas.openxmlformats.org/officeDocument/2006/relationships/hyperlink" Target="https://www.bolsamercantil.com.co/node/1614" TargetMode="External"/><Relationship Id="rId10" Type="http://schemas.openxmlformats.org/officeDocument/2006/relationships/hyperlink" Target="https://www.dane.gov.co/files/operaciones/EMS/gra-EMS-feb2026.html?utm_source" TargetMode="External"/><Relationship Id="rId13" Type="http://schemas.openxmlformats.org/officeDocument/2006/relationships/hyperlink" Target="https://app.powerbi.com/view?r=eyJrIjoiNjkwMzhkMjItNjZjZC00YzA3LWI1MDMtMGEyNzlmYWRjNDYxIiwidCI6IjdiMDkwNDFlLTI0NTEtNDlkMC04Y2IxLTc5ZDVlM2Q4YzFiZSIsImMiOjR9" TargetMode="External"/><Relationship Id="rId12" Type="http://schemas.openxmlformats.org/officeDocument/2006/relationships/hyperlink" Target="https://app.powerbi.com/view?r=eyJrIjoiMGY4MWZmZmUtNGJlYy00YTBlLTgzYmYtZGE2NGRkZDA1YTJlIiwidCI6IjdiMDkwNDFlLTI0NTEtNDlkMC04Y2IxLTc5ZDVlM2Q4YzFiZSIsImMiOjR9&amp;pageName=ReportSection17ad17361e56dd6a009c" TargetMode="External"/><Relationship Id="rId1" Type="http://schemas.openxmlformats.org/officeDocument/2006/relationships/hyperlink" Target="https://investigaciones.corfi.com/analisis-sectorial-y-sostenibilidad/perspectiva-sectorial-servicos/sector-servicios/informe_1506613" TargetMode="External"/><Relationship Id="rId2" Type="http://schemas.openxmlformats.org/officeDocument/2006/relationships/hyperlink" Target="https://investigaciones.corfi.com/analisis-sectorial-y-sostenibilidad/perspectiva-sectorial-servicos/sector-servicios/informe_1506613" TargetMode="External"/><Relationship Id="rId3" Type="http://schemas.openxmlformats.org/officeDocument/2006/relationships/hyperlink" Target="https://www.dane.gov.co/index.php/estadisticas-por-tema/cuentas-nacionales/cuentas-nacionales-trimestrales/pib-informacion-tecnica" TargetMode="External"/><Relationship Id="rId4" Type="http://schemas.openxmlformats.org/officeDocument/2006/relationships/hyperlink" Target="https://www.dane.gov.co/index.php/estadisticas-por-tema/cuentas-nacionales/cuentas-nacionales-trimestrales/pib-informacion-tecnica" TargetMode="External"/><Relationship Id="rId9" Type="http://schemas.openxmlformats.org/officeDocument/2006/relationships/hyperlink" Target="https://www.dane.gov.co/index.php/estadisticas-por-tema/cuentas-nacionales/indicador-de-seguimiento-a-la-economia-ise" TargetMode="External"/><Relationship Id="rId15" Type="http://schemas.openxmlformats.org/officeDocument/2006/relationships/hyperlink" Target="https://www.colombiacompra.gov.co/analisis-de-datos-de-compra-publica/visualizaciones-compra-publica/herramienta-de-visualizacion-para-el-analisis-de-la-demanda-y-de-la-oferta" TargetMode="External"/><Relationship Id="rId14" Type="http://schemas.openxmlformats.org/officeDocument/2006/relationships/hyperlink" Target="https://app.powerbi.com/view?r=eyJrIjoiMGY4MWZmZmUtNGJlYy00YTBlLTgzYmYtZGE2NGRkZDA1YTJlIiwidCI6IjdiMDkwNDFlLTI0NTEtNDlkMC04Y2IxLTc5ZDVlM2Q4YzFiZSIsImMiOjR9&amp;pageName=ReportSection17ad17361e56dd6a009c" TargetMode="External"/><Relationship Id="rId17" Type="http://schemas.openxmlformats.org/officeDocument/2006/relationships/hyperlink" Target="https://app.powerbi.com/view?r=eyJrIjoiMGY4MWZmZmUtNGJlYy00YTBlLTgzYmYtZGE2NGRkZDA1YTJlIiwidCI6IjdiMDkwNDFlLTI0NTEtNDlkMC04Y2IxLTc5ZDVlM2Q4YzFiZSIsImMiOjR9&amp;pageName=ReportSection17ad17361e56dd6a009c" TargetMode="External"/><Relationship Id="rId16" Type="http://schemas.openxmlformats.org/officeDocument/2006/relationships/hyperlink" Target="https://www.colombiacompra.gov.co/analisis-de-datos-de-compra-publica/visualizaciones-compra-publica/herramienta-de-visualizacion-para-el-analisis-de-la-demanda-y-de-la-oferta" TargetMode="External"/><Relationship Id="rId5" Type="http://schemas.openxmlformats.org/officeDocument/2006/relationships/hyperlink" Target="https://www.dane.gov.co/index.php/estadisticas-por-tema/cuentas-nacionales/cuentas-nacionales-trimestrales/pib-informacion-tecnica" TargetMode="External"/><Relationship Id="rId6" Type="http://schemas.openxmlformats.org/officeDocument/2006/relationships/hyperlink" Target="https://www.banrep.gov.co/en/node/29194" TargetMode="External"/><Relationship Id="rId7" Type="http://schemas.openxmlformats.org/officeDocument/2006/relationships/hyperlink" Target="https://www.dane.gov.co/index.php/estadisticas-por-tema/cuentas-nacionales/indicador-de-seguimiento-a-la-economia-ise" TargetMode="External"/><Relationship Id="rId8" Type="http://schemas.openxmlformats.org/officeDocument/2006/relationships/hyperlink" Target="https://www.dane.gov.co/files/operaciones/ISE/bol-ISE-feb2026.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3.png"/><Relationship Id="rId2"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wcjqmEtMiFbvgE8kBZaM5O2jNTA==">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</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2024-06-07T00:00:</vt:lpwstr>
  </property>
  <property fmtid="{D5CDD505-2E9C-101B-9397-08002B2CF9AE}" pid="3" name="Creator">
    <vt:lpwstr>Microsoft® Word para Microsoft 365</vt:lpwstr>
  </property>
  <property fmtid="{D5CDD505-2E9C-101B-9397-08002B2CF9AE}" pid="4" name="LastSaved">
    <vt:lpwstr>2024-11-04T00:00:00Z</vt:lpwstr>
  </property>
</Properties>
</file>